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136 vom 19. August 2019</w:t>
      </w:r>
    </w:p>
    <w:p>
      <w:r>
        <w:t>VD Tribunal cantonal, 2019-08-19, FR</w:t>
      </w:r>
    </w:p>
    <w:p>
      <w:r>
        <w:rPr>
          <w:b/>
        </w:rPr>
        <w:t xml:space="preserve">Quelle: </w:t>
      </w:r>
      <w:r>
        <w:t>https://mcp.opencaselaw.ch/entscheid/vd_findinfo_Jug___2020___136</w:t>
      </w:r>
    </w:p>
    <w:p>
      <w:r>
        <w:t>FR: VD_FINDINFO Jug / 2020 / 136 du 19 août 2019</w:t>
      </w:r>
    </w:p>
    <w:p>
      <w:r>
        <w:t>IT: VD_FINDINFO Jug / 2020 / 136 del 19 agosto 2019</w:t>
      </w:r>
    </w:p>
    <w:p>
      <w:pPr>
        <w:pStyle w:val="Heading2"/>
      </w:pPr>
      <w:r>
        <w:t>Regeste</w:t>
      </w:r>
    </w:p>
    <w:p>
      <w:r>
        <w:t>ESCROQUERIE, ABUS DE CONFIANCE, GESTION DÉLOYALE, DÉTOURNEMENT D'OBJETS SOUS MAIN DE JUSTICE, FAUX INTELLECTUEL DANS LES TITRES, FAUX MATÉRIEL DANS LES TITRES, OBTENTION FRAUDULEUSE D'UNE CONSTATATION FAUSSE, INDUCTION DE LA JUSTICE EN ERREUR, LOI FÉDÉRALE SUR LES ÉTRANGERS, DISPOSITIONS PÉNALES DE LA LAVS, DISPOSITIONS PÉNALES DE LA LPP, DISPOSITIONS PÉNALES DE LA LCR, FIXATION DE LA PEINE, SURSIS À L'EXÉCUTION DE LA PEINE | 138 ch. 1 CP, 146 al. 1 CP, 158 ch. 1 CP, 166 CP, 169 CP, 22 ad 146 CP, 251 ch. 1 CP, 304 ch. 1 CP, 42 CP, 43 CP, 47 CP, 87 LAVS, 96 ch. 2 LCR, 76 al. 2 LPP, 76 al. 3 LPP, 117 al. 1 LEI</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Q.________ est recevable.</w:t>
      </w:r>
    </w:p>
    <w:p>
      <w:r>
        <w:rPr>
          <w:b/>
        </w:rPr>
        <w:t>E. 2</w:t>
      </w:r>
    </w:p>
    <w:p>
      <w:r>
        <w:t>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L'appelant conteste sa condamnation pour faux dans les titres et escroquerie en relation avec les faits décrits sous ch. 11.5 du jugement attaqué (cf. jugement, pp. 48-49; cf. let. C, ch. 2.7.2 supra ). Il maintient qu'il n'aurait pas falsifié le certificat médical du 27 octobre 2014 et qu'il ne l'aurait pas envoyé lui-même à C.________. L'appréciation des preuves et l'établissement des faits par les premiers juges seraient sur ces points arbitraires.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Jeanneret et al. [éd.], Commentaire romand, Code de procédure pénale suisse [ci-après: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 CPP, op. cit., n. 19 ad art. 398 CPP et les références citées).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ATF 144 IV 345 précité consid. 2.2.3.3; ATF 143 IV 500 consid. 1.1).</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TF 6B_117/2015 du 11 février 2016 consid. 2.3.2).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L'escroquerie peut être commise par dol éventuel, lorsque l'auteur tient un gain pour possible et le veut pour le cas où il se réaliserait (ATF 126 IV 165 consid. 4b; TF 6B_1334/2016 du 8 août 2017 consid. 4.1).</w:t>
      </w:r>
    </w:p>
    <w:p>
      <w:r>
        <w:rPr>
          <w:b/>
        </w:rPr>
        <w:t>E. 3.3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Dupuis et alii, Petit commentaire du Code pénal, Bâle 2017, n. 1 ad art. 251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 titre doive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La forme authentique, dont la loi fait notamment dépendre la validité des ventes immobilières, est destinée à protéger les parties comme à accroître la sécurité générale du droit. Elle a pour effet que le titre fait foi des actes qu'il constate et dont l'inexactitude n'est pas prouvée (art. 9 CC). Un contrat passé en cette forme doit partant être complet et véridique; toutes les clauses objectivement ou subjectivement essentielles doivent être constatées dans le titre et correspondre à la volonté réelle des parties (TF du 24 février 2000, arrêt 6S.438/1999). Un acte authentique est ainsi un titre (ATF 110 101 IV 145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 CAPE 28 mai 2015/190).</w:t>
      </w:r>
    </w:p>
    <w:p>
      <w:r>
        <w:rPr>
          <w:b/>
        </w:rPr>
        <w:t>E. 3.4</w:t>
      </w:r>
    </w:p>
    <w:p>
      <w:r>
        <w:t>En l’espèce, les premiers juges se sont déclarés convaincus de la culpabilité du prévenu quant aux faits décrits sous ch. 11.5 du jugement attaqué en particulier sur la base des pièces 24/8 à 24/10. La police a analysé les documents qu'elle avait saisis lors de la perquisition de l'habitation du couple Q.________ le 20 octobre 2015 (P. 23, p. 11). Elle a ainsi trouvé un certificat médical original du 27 octobre 2014, établi par le Dr [...], médecin aux urgences du CHUV (P. 24/8a in classeur gris) qui indique que le prévenu doit interrompre son travail pour raisons médicales du 27 octobre 2014 au 27 octobre 2014, une copie falsifiée du même certificat qui prolonge l'interruption de travail au 24 novembre 2014 (P. 24/8b) et une deuxième copie falsifiée du même certificat faussement daté du 27 novembre 2014 qui prolonge abusivement l'interruption au 11 janvier 2015 et qui fixe la reprise du travail à 100 % le 12 janvier 2015 (P. 24/8c). A l'origine de cet arrêt de travail, il y a un accident de circulation (heurt de véhicules en file) à l'issue duquel le prévenu a déclaré le 27 octobre 2014 à la police qu'il était attaché et qu'il n'était pas blessé (P. 24/9). L'entreprise M.________ SA a pourtant adressé une déclaration de sinistre à C.________ le 3 novembre 2014 en mentionnant une incapacité de travail probablement supérieure à un mois de son cadre supérieur Q.________ (P. 24/10) en raison de la contusion de sa colonne cervicale. Au total, le prévenu, au travers de son entreprise, a ainsi perçu 74 indemnités journalières totalisant 15'813 fr. 80 (P. 23, p. 19). Contrairement à ce que soutient l'appelant, le certificat médical du 27 octobre 2014 établi par le Dr [...] (P. 24/8a in classeur gris) constitue bien un titre au sens de l'art. 110 ch. 5 CP, en tant qu'écrit fixant l'expression d'une pensée humaine, permettant de reconnaître son auteur et propre à prouver un fait, soit une incapacité de travail constatée médicalement, et ayant une portée juridique, permettant en l'occurrence l'octroi de prestations de C.________. En cours d'enquête, le prévenu s'est borné à contester avoir été l'auteur d'une quelconque falsification (PV aud. 9, p. 7). Lors de l'audience de jugement du 13 août 2019 (cf. jugement, p. 10), il a soutenu ne pas avoir été blessé, mais contradictoirement avoir souffert d'une fracture, ne pas se souvenir de la première durée de l'arrêt de travail, être retourné deux fois au CHUV, ne pas avoir envoyé de documents à C.________, les certificats ayant été envoyés directement à cette assurance par le CHUV, ce qui exclurait toute falsification, n'avoir rien perçu et ignoré pourquoi les certificats en copies trouvés chez lui étaient modifiés, enfin le médecin lui aurait d'abord donné un certificat original et après des certificats en copie. Pour sa part, M.________ a dit en cours d'enquête n'avoir été au courant de rien et ne pas avoir falsifié le certificat (PV aud. 10, p. 7). En réalité, le 13 janvier 2015, celle-ci a bien complété et signé, ce qui ressort de la comparaison avec sa signature apposée sur des procès-verbaux d'audition, un questionnaire de C.________ qui indique le 12 janvier 2015 comme date de reprise de l'activité. Destinataire et porteur du seul certificat médical à lui délivré suite à l'accident du même jour, Q.________ est forcément impliqué dans sa double falsification et dans les demandes de prestations adressées à C.________ sur la base de ces faux matériels successifs, l'escroquerie ne pouvant fonctionner que si le prétendu accidenté y collabore. Son implication ressort aussi des absurdités, contradictions et incohérences qui parsèment sa déposition sur ce point à l'audience de première instance: pas de blessure accidentelle, mais une fracture; ignorance de la durée de l'arrêt de travail initial; envoi direct de certificats médicaux par le CHUV à l'assurance alors qu'il prétend s'être rendu à des consultations au CHUV; impossibilité d'expliquer l'existence des faux en sa possession; négation des faux en soutenant que le médecin lui aurait remis des copies alors que les copies en question sont manifestement des faux matériels, etc.. Vu l'impasse d'une telle position, l'appelant est revenu lors des débats d'appel sur ses précédentes déclarations, et a admis que son ex-épouse avait bien changé la date du certificat, qu'elle l'avait ensuite envoyé à l'assurance et que le couple avait reçu des prestations. Il a admis en outre qu'il était au courant de ces faits et les avait approuvés (cf. procès-verbal, p. 3). S'il ne peut dès lors être exclu que M.________ ait participé à la fraude, il n'y a toutefois pas lieu d'y revenir eu égard à la teneur de l'acte d'accusation et de l'absence d'appel sur cette non condamnation. En revanche, l'éventuelle implication de l'ex-épouse qui agissait, sous la coupe de son ex-mari comme le retient le jugement en page 61, n'exclut pas celle de l'appelant, qui s'est d'ailleurs résolu à admettre les faits. Le procédé qui recourt à des faux est évidemment astucieux. En outre, la falsification du certificat médical original du 27 octobre 2014 (P. 24/8a in classeur gris) n'est pas grossière, contrairement à ce que soutient l'appelant. Comme l'auteur du faux visait par son usage l'obtention d'un enrichissement illégitime, la qualification du crime de faux dans les titres (art. 251 CP) l'emporte sur celle du délit de faux dans les certificats (art. 252 CP) (cf. Dupuis et alii, Petit commentaire du Code pénal, op. cit., n. 24 ad art. 252 CP). La condamnation de l'appelant pour faux dans les titres et escroquerie, dont les éléments constitutifs sont réalisés, doit ainsi être confirmée.</w:t>
      </w:r>
    </w:p>
    <w:p>
      <w:r>
        <w:rPr>
          <w:b/>
        </w:rPr>
        <w:t>E. 4</w:t>
      </w:r>
    </w:p>
    <w:p>
      <w:r>
        <w:t>Dans sa déclaration d'appel, l'appelant a contesté sa condamnation pour tentative d'escroquerie et abus de confiance en relation avec les faits décrits sous ch. 7 du jugement attaqué (cf. jugement, pp. 33-35) (cf. let. C, ch. 2.4 supra ), maintenant qu'il se serait fait voler l'Audi A8 dans un parking à [...] en [...]. Lors des débats d'appel, il a toutefois retiré sa conclusion tendant à libération, de sorte qu'il n'y a pas lieu de revenir sur sa condamnation pour ces faits.</w:t>
      </w:r>
    </w:p>
    <w:p>
      <w:r>
        <w:rPr>
          <w:b/>
        </w:rPr>
        <w:t>E. 5</w:t>
      </w:r>
    </w:p>
    <w:p>
      <w:r>
        <w:t>Invoquant une violation de l'art. 47 CP, l'appelant conteste la peine qui lui a été infligée, laquelle serait selon lui excessive, indépendamment de l'admission des moyens soulevés tendant à sa libération. Ce serait ainsi à tort que les premiers juges auraient nié sa prise de conscience, les éléments au dossier ne permettant pas de retenir qu'il se ferait passer pour une victime. De plus, ses aveux ne seraient pas rares car il aurait admis les faits, et aurait été libéré des faits contestés. Il revendique en définitive une peine privative de liberté n'excédant pas 24 mois.</w:t>
      </w:r>
    </w:p>
    <w:p>
      <w:r>
        <w:rPr>
          <w:b/>
        </w:rPr>
        <w:t>E. 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w:t>
      </w:r>
    </w:p>
    <w:p>
      <w:r>
        <w:rPr>
          <w:b/>
        </w:rPr>
        <w:t>E. 5.2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En l’occurrence, l'appelant doit être sanctionné pour abus de confiance, passible d’une peine privative de liberté de cinq ans au plus ou d’une peine pécuniaire (art. 138 ch. 1 CP), gestion déloyale, passible d’une peine privative de liberté de trois ans au plus ou d’une peine pécuniaire (art. 158 ch. 1 al. 1) ou d'une peine privative de liberté de un à cinq ans si l’auteur a agi dans le dessein de se procurer ou de procurer à un tiers un enrichissement illégitime (art. 158 ch. 1 al. 3 CP), violation de l'obligation de tenir une comptabilité, passible d’une peine privative de liberté de trois ans au plus ou d’une peine pécuniaire (art. 166 CP), détournement de valeurs mises sous main de justice, passible d’une peine privative de liberté de trois ans au plus ou d’une peine pécuniaire (art. 169 CP), tentative d'escroquerie (art. 22 ad 146 CP), escroquerie, passible d’une peine privative de liberté de cinq ans au plus ou d’une peine pécuniaire (art. 146 al. 1 CP), faux dans les titres, passible d’une peine privative de liberté de cinq ans au plus ou d’une peine pécuniaire (art. 251 ch. 1 CP), induction de la justice en erreur, passible d’une peine privative de liberté de trois ans au plus ou d’une peine pécuniaire (art. 304 ch. 1 CP), emploi répété d'étranger sans autorisation, passible d’une peine privative de liberté d’un an au plus ou d’une peine pécuniaire, dans les cas graves, d'une peine privative de liberté de trois ans au plus ou une peine pécuniaire, une peine pécuniaire étant également prononcée en cas de peine privative de liberté (art. 117 al. 1 LEI [Loi fédérale sur les étrangers et l’intégration du 16 décembre 2005; RS 142.20]), quiconque ayant fait l'objet d'une condamnation exécutoire en vertu de l'al. 1 contrevenant de nouveau, dans les cinq années suivantes, à l'al. 1, étant puni d'une peine privative de liberté de trois ans au plus ou d'une peine pécuniaire, une peine pécuniaire étant également prononcée en cas de peine privative de liberté (art. 117 al. 2 LEI), infraction à la loi fédérale sur l'assurance-vieillesse et survivants, passible d’une peine pécuniaire de 180 jours-amende au plus, à moins qu’il ne s’agisse d’un crime ou d’un délit frappé d’une peine plus lourde (art. 87 al. 3 LAVS [du 20 décembre 1946; RS 831.10]), infraction à la loi fédérale sur la prévoyance professionnelle vieillesse, survivants et invalidité, passible, à moins qu’il ne s’agisse d’un délit ou d’un crime frappé d’une peine plus lourde par le code pénal, de l’emprisonnement pour six mois au plus ou d’une amende de 30'000 fr. au plus (art. 76 LPP [du 15 juin 1982; RS 831.40]), circulation sans assurance responsabilité civile, passible d’une peine privative de liberté de trois ans au plus ou d’une peine pécuniaire dans les cas de peu de gravité, la peine privative de liberté étant assortie d’une peine pécuniaire (art. 96 al. 2 LCR [Loi fédérale sur la circulation routière du 19 décembre 1958; RS 741.01]). S’agissant du genre de peine, les premiers juges ont considéré qu'une peine privative de liberté était une sanction adéquate (cf. jugement, p. 60). Le Tribunal correctionnel doit être suivi sur ce point. Vu la multiplicité des infractions et leur variété démontrant un ancrage profond de l'appelant dans la délinquance, le prononcé d’une peine privative de liberté pour chacune des infractions prévoyant une telle peine s'impose pour des motifs de prévention spéciale, exception faite des infractions à l’art. 87 LAVS en lien avec les faits décrits sous let. C, ch. 2.8 et 2.10 supra pour lesquelles une peine pécuniaire doit être infligée. L'infraction la plus grave est l'abus de confiance en lien avec les faits décrits sous let. C, ch. 2.4.1 supra . La culpabilité de l'appelant doit être qualifiée de lourde en raison de l'énergie délictuelle considérable déployée et l'importance de la lésion patrimoniale, de près de 85'000 francs. A charge également, il faut retenir que la prise de conscience de la gravité des actes punissables est extrêmement limitée, quand elle n'est pas tardive, l'appelant n'admettant les faits que lorsque ceux-ci semblent ne plus pouvoir être contestés. A cet égard, on retiendra qu'il a tenté d'égarer à son avantage police et justice en multipliant les explications trompeuses, et qu'il a bien été condamné par les premiers juges pour des faits contestés. Il continue en appel à se défausser sur son épouse, laquelle, selon les déclarations de l'intéressé lors des débats, n'aurait jamais apporté de l'argent au ménage, tandis que lui avait la responsabilité exclusive de financer le couple (cf. procès-verbal, p. 3). Il faut également prendre en considération son mépris des lois et des décisions de justice, ce qui ressort de son épais casier judiciaire. A décharge, seront pris en considération la situation personnelle du prévenu, ses rares aveux spontanés et l'ancienneté des faits. Fondé sur ce qui précède, une peine de base de l'ordre de</w:t>
      </w:r>
    </w:p>
    <w:p>
      <w:r>
        <w:rPr>
          <w:b/>
        </w:rPr>
        <w:t>E. 8</w:t>
      </w:r>
    </w:p>
    <w:p>
      <w:r>
        <w:t>mois se justifie. Par l’effet du concours, cette peine doit être augmentée de 6 mois pour l'emploi répété et systématique d'étrangers sans autorisation en lien avec les faits décrits sous let. C, ch. 2.5.1 supra . L'escroquerie à C.________ en lien avec les faits décrits sous let. C, ch. 2.7.2 supra portant sur 15'813 fr. 80 implique encore une aggravation de 4 mois, augmentée de 2 mois pour les deux certificats falsifiés. La longue gestion fautive en lien avec les faits décrits sous let. C, ch. 2.1.3 supra portant sur environ 31'000 fr. conduit à infliger 3 mois supplémentaires. Les trois épisodes d'induction de la justice en erreur en lien avec les faits décrits sous let. C, ch. 2.6 supra , qui s'inscrivent dans une perspective d'exploitation du travail au noir puisqu'il s'agissait de couvrir des employeurs en infraction, augmentent la sanction de 1 mois chacun, soit de 3 mois. L'escroquerie à C.________ en lien avec les faits décrits sous let. C, ch. 2.7.1 supra portant sur 2'408 fr. 25 conduit à une majoration de 1 mois. Les faux dans les titres en lien avec les faits décrits sous let. C, ch. 2.7.3 supra , valent 10 jours chacun, soit une majoration de 1 mois. La gestion déloyale en lien avec les faits décrits sous let. C, ch. 2.1.2 supra aboutit à une majoration de 1 mois, l'infraction à la LPP en lien avec les faits décrits sous let. C, ch. 2.9 supra également, de même que la circulation sans être couvert par une assurance responsabilité civile en lien avec les faits décrits sous let. C, ch. 2.4.3 supra , la gestion déloyale en lien avec les faits décrits sous let. C, ch. 2.1.1 supra , la violation du devoir de tenir une comptabilité en lien avec les faits décrits sous let. C, ch. 2.2.1 supra , celle en lien avec les faits décrits sous let. C, ch. 2.2.2 supra et le détournement de valeurs patrimoniales en lien avec les faits décrits sous let. C, ch. 2.3.2 supra , soit une majoration de 7 mois au total pour ce groupe d'infractions. On renoncera à sanctionner l'induction de la justice en erreur en lien avec les faits décrits sous let. C, ch. 2.4.2 supra , qui est comprise dans la sanction de l'abus de confiance pour les faits décrits sous let. C, ch. 2.4.1 supra , et le détournement de valeurs patrimoniales pour les faits décrits sous let. C, ch. 2.3.1 supra en raison de la faible valeur de l'avantage obtenu sans droit. Toutes les infractions passibles de peine privative de liberté sont postérieures aux deux condamnations de 2010 à 7 jours et 10 jours de privation de liberté pour infractions à la loi fédérale sur les étrangers, donc aucun concours rétrospectif ne doit être envisagé. Les sanctions alourdies par le concours donnent ainsi un total de 37 mois de peine privative de liberté, ramené à 30 mois pour ne pas violer le principe de l'interdiction de la reformatio in pejus . La peine pécuniaire de 45 jours-amende à 70 fr. prononcée par les premiers juges pour réprimer les infractions à l'art. 87 LAVS en lien avec les faits décrits sous let. C, ch. 2.8 et 2.10 supra , peine partiellement complémentaire à celles prononcées le 19 août 2014 par le Ministère public du canton de Fribourg et le 12 novembre 2014 par le Ministère public du canton du Jura, n'est pas contestée en tant que telle. Adéquate, celle-ci sera confirmée. 6. L'appelant invoque une violation des art. 42 et 43 CP. Il estime que les premiers juges auraient dû lui accorder un sursis complet, le pronostic quant à son comportement futur n'étant, selon lui, pas défavorable. Il fait en outre valoir que les premiers juges lui ont accordé le sursis s'agissant de la peine pécuniaire. 6.1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TF 6B_392/2016 du 10 novembre 2016).De jurisprudence constante, les conditions subjectives auxquelles l'art. 42 CP soumet l'octroi du sursis intégral s'appliquent également à l'octroi du sursis partiel prévu à l'art. 43 CP (ATF 139 IV 270 consid. 3.3; ATF 134 IV 1 consid. 5.3.1). L'art. 42 CP a été modifié avec effet au 1 er janvier 2018.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 Genton, La fixation de la peine et le sursis à l'aune du nouveau droit des sanctions, in: Forumpoenale 5/2017 p. 328; CAPE 8 février 2018/32 consid. 5.2.1 in fine). L'ancien droit des sanctions n’étant ainsi pas plus favorable dans le cas particulier, le nouveau droit sera appliqué.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6.2 En l'occurrence, la quotité de la peine privative de liberté infligée dépasse 24 mois, ce qui exclut l'octroi d'un plein sursis. Reste à examiner la question du sursis partiel. On peut sérieusement douter des perspectives d'amendement de l'appelant, au vu de ses antécédents et du nombre considérable et de la variété des infractions commises dans la présente procédure, dénotant une complète amoralité et une propension marquée à bafouer systématiquement la loi pénale durant des années s'il y trouvait un quelconque avantage, plus particulièrement patrimonial. Si le Tribunal correctionnel a posé un pronostic mitigé, il a tenu compte de l'effet de choc qu'entraînera l'exécution d'une partie de la peine privative de liberté, soit 15 mois sur les 30 mois infligés. Les pièces produites par le prévenu lors des débats d'appel, censées démontrer que celui-ci a, en 2019, gagné sa vie sans violer la loi par le biais de son activité au sein de l'entreprise [...] dont il est administrateur, ne sauraient permettre, à elles seules, de revenir sur le pronostic mitigé posé à juste titre par les premiers juges. A l'instar du Tribunal correctionnel, la Cour de céans veut croire que l'octroi du sursis partiel portant sur la moitié de la peine, assorti d'un long délai d'épreuve, sera susceptible de détourner l'appelant de commettre de nouvelles infractions. Ne pas confirmer l'appréciation des premiers juges sur ce point constituerait au demeurant une reformatio in pejus prohibée. Compte tenu de la révocation des sursis accordés le 19 août 2014 par le Ministère public du canton de Fribourg et le 12 novembre 2014 par le Ministère public du canton du Jura, l'octroi d'un plein sursis pour la peine pécuniaire infligée au prévenu se justifie. On ne saurait dès lors y voir un manque de cohérence conduisant à revoir, dans son principe ou sa quotité, le sursis partiel portant sur la peine privative de liberté. 7. En conclusion, l’appel de Q.________ doit être rejeté et le jugement attaqué confirmé. Selon la liste d’opérations produite par Me Fabien Mingard, dont il n’y a pas lieu de s’écarter, hormis l'ajout d'une heure pour l'audience d'appel, une indemnité d’un montant de 1'905 fr. sera allouée, correspondant à 10 heures 35 d’activité d’avocat breveté, plus une vacation à 120 fr., plus 38 fr. 10 de débours (2% des honoraires), plus 158 fr. 85 de TVA, de sorte que l'indemnité de défenseur d’office de Q.________ pour la procédure d’appel s'élève au total à 2'221 fr. 95. Vu l’issue de la cause, les frais de la procédure d’appel, par 6'551 fr. 95, constitués de l’émolument de jugement, par 4'330 fr. (art. 21 al. 1 et 2 TFIP [Tarif des frais de procédure et indemnités en matière pénale du 28 septembre 2010; BLV 312.03.1]), et de l’indemnité allouée à son défenseur d’office, par 2'221 fr. 95, seront mis à la charge de Q.________, qui succombe (art. 428 al. 1CPP). Q.________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