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122 vom 29. Januar 2019</w:t>
      </w:r>
    </w:p>
    <w:p>
      <w:r>
        <w:t>VD Tribunal cantonal, 2019-01-29, FR</w:t>
      </w:r>
    </w:p>
    <w:p>
      <w:r>
        <w:rPr>
          <w:b/>
        </w:rPr>
        <w:t xml:space="preserve">Quelle: </w:t>
      </w:r>
      <w:r>
        <w:t>https://mcp.opencaselaw.ch/entscheid/vd_findinfo_Jug___2020___122</w:t>
      </w:r>
    </w:p>
    <w:p>
      <w:r>
        <w:t>FR: VD_FINDINFO Jug / 2020 / 122 du 29 janvier 2019</w:t>
      </w:r>
    </w:p>
    <w:p>
      <w:r>
        <w:t>IT: VD_FINDINFO Jug / 2020 / 122 del 29 gennaio 2019</w:t>
      </w:r>
    </w:p>
    <w:p>
      <w:pPr>
        <w:pStyle w:val="Heading2"/>
      </w:pPr>
      <w:r>
        <w:t>Regeste</w:t>
      </w:r>
    </w:p>
    <w:p>
      <w:r>
        <w:t>PRÉTENTION DE DROIT PUBLIC, FRAIS JUDICIAIRES, DOMMAGES-INTÉRÊTS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L’appel relève de la procédure écrite, dès lors que les parties ne s'y sont pas opposées et que la présence du prévenu aux débats d’appel n’est pas indispensable (art. 406 al. 2 let. a CPP).</w:t>
      </w:r>
    </w:p>
    <w:p>
      <w:r>
        <w:rPr>
          <w:b/>
        </w:rPr>
        <w:t>E. 3</w:t>
      </w:r>
    </w:p>
    <w:p>
      <w:r>
        <w:t>Dans son arrêt de renvoi, le Tribunal fédéral a confirmé le jugement de la Cour de céans s'agissant des frais de la procédure d'appel, de l'allocation d'une créance compensatrice à l'Etat et de l'allocation des conclusions civiles à la partie plaignante. Il lui a en revanche demandé d'introduire dans le dispositif de sa nouvelle décision un mécanisme tendant à éviter que R.________ doive s'acquitter aussi bien de la créance compensatrice que de celle en dommages-intérêts en faveur de J.________. Il convient dès lors de modifier le dispositif du jugement rendu par la Cour de céans le 27 août 2019 par l'ajout d'un chiffre IV bis à la teneur suivante : « dit que la créance compensatrice fixée sous chiffre IV ci-dessus sera réduite de tout montant payé par R.________ à J.________ ».</w:t>
      </w:r>
    </w:p>
    <w:p>
      <w:r>
        <w:rPr>
          <w:b/>
        </w:rPr>
        <w:t>E. 4</w:t>
      </w:r>
    </w:p>
    <w:p>
      <w:r>
        <w:t>Dans la présente procédure, R.________ s'est borné à dire qu'il fallait trouver une solution de coordination, solution qui a au demeurant été suggérée par la partie plaignante dans un bref mémoire d'une page. R.________ a obtenu 500 fr. à titre de dépens alloués par le Tribunal fédéral. Compte tenu de ce qui précède, l'ajout du chiffre IV bis constitue un complément d'office du jugement de première instance et non une admission partielle de l'appel de R.________. Partant, l'appel de R.________ et l'appel joint de J.________ sont rejetés. Il n'y a ainsi pas lieu d'allouer des dépens à charge de J.________ en faveur de R.________. Le chiffre VI du dispositif rendu le 29 janvier 2019 reste dès lors inchangé. Au vu de l'issue de la procédure, les frais d'appel antérieurs à l’arrêt du Tribunal fédéral du 8 janvier 2020, constitués de l'émolument de jugement par 2'570 fr. (art. 21 al. 1 et 2 TFIP [Tarif des frais de procédure et indemnités en matière pénale du 28 septembre 2010 ; BLV 312.03.1]), sont mis par moitié à la charge de l'appelant et par moitié à la charge de l'appelant par voie de jonction. Le présent jugement ayant été rendu à la suite de l’arrêt de renvoi du Tribunal fédéral, les frais d'appel postérieurs à celui-ci, constitués de l’émolument du présent jugement, par 770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