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120 vom 12. November 2019</w:t>
      </w:r>
    </w:p>
    <w:p>
      <w:r>
        <w:t>VD Tribunal cantonal, 2019-11-12, FR</w:t>
      </w:r>
    </w:p>
    <w:p>
      <w:r>
        <w:rPr>
          <w:b/>
        </w:rPr>
        <w:t xml:space="preserve">Quelle: </w:t>
      </w:r>
      <w:r>
        <w:t>https://mcp.opencaselaw.ch/entscheid/vd_findinfo_Jug___2020___120</w:t>
      </w:r>
    </w:p>
    <w:p>
      <w:r>
        <w:t>FR: VD_FINDINFO Jug / 2020 / 120 du 12 novembre 2019</w:t>
      </w:r>
    </w:p>
    <w:p>
      <w:r>
        <w:t>IT: VD_FINDINFO Jug / 2020 / 120 del 12 novembre 2019</w:t>
      </w:r>
    </w:p>
    <w:p>
      <w:pPr>
        <w:pStyle w:val="Heading2"/>
      </w:pPr>
      <w:r>
        <w:t>Regeste</w:t>
      </w:r>
    </w:p>
    <w:p>
      <w:r>
        <w:t>DÉTENTION POUR DES MOTIFS DE SÛRETÉ, RISQUE DE RÉCIDIVE, RISQUE DE FUITE | 221 al. 1 let. a CPP (CH), 221 al. 1 let. c CPP (CH), 231 al. 1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2e éd., Bâle 2016, n. 4 ad art. 233 CPP).</w:t>
      </w:r>
    </w:p>
    <w:p>
      <w:r>
        <w:rPr>
          <w:b/>
        </w:rPr>
        <w:t>E. 1.2</w:t>
      </w:r>
    </w:p>
    <w:p>
      <w:r>
        <w:t>En l’espèce, R.________ a sollicité sa libération durant la procédure d’appel, de sorte que sa demande est recevable.</w:t>
      </w:r>
    </w:p>
    <w:p>
      <w:r>
        <w:rPr>
          <w:b/>
        </w:rPr>
        <w:t>E. 2</w:t>
      </w:r>
    </w:p>
    <w:p>
      <w:r>
        <w:t>Le requérant invoque, pour seul motif de libération, la propagation du coronavirus, respectivement un « sentiment de dissension » face à celle-ci.</w:t>
      </w:r>
    </w:p>
    <w:p>
      <w:r>
        <w:rPr>
          <w:b/>
        </w:rPr>
        <w:t>E. 2.1</w:t>
      </w:r>
    </w:p>
    <w:p>
      <w:r>
        <w:t>Les cas de figure posés à l'art. 231 al. 1 CPP ne constituent pas des motifs de détention proprement dits au sens de l'art. 31 al. 1 Cst. (Constitution fédérale de la Confédération suisse du 18 avril 1999; RS 101), mais apportent des précisions d'ordre procédural : l'art. 231 CPP désigne l'autorité compétente pour ordonner la détention à titre de sûreté et les motifs de détention demeurent ceux de l'art. 221 CPP (TF 1B_210/2016 du 24 juin 2016 consid. 2.1). Selon l'art. 221 al. 1 CPP, la détention provisoire et la détention pour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w:t>
      </w:r>
    </w:p>
    <w:p>
      <w:r>
        <w:rPr>
          <w:b/>
        </w:rPr>
        <w:t>E. 2.1.1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2.1.2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w:t>
      </w:r>
    </w:p>
    <w:p>
      <w:r>
        <w:rPr>
          <w:b/>
        </w:rPr>
        <w:t>E. 2.1.3</w:t>
      </w:r>
    </w:p>
    <w:p>
      <w:r>
        <w:t>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Lorsque le détenu a déjà été jugé en première instance, ce prononcé constitue un indice important quant à la peine susceptible de devoir être finalement exécutée (ATF 143 IV 168 consid. 5.1).</w:t>
      </w:r>
    </w:p>
    <w:p>
      <w:r>
        <w:rPr>
          <w:b/>
        </w:rPr>
        <w:t>E. 2.2</w:t>
      </w:r>
    </w:p>
    <w:p>
      <w:r>
        <w:t>En l’espèce, le casier judiciaire de R.________ comporte</w:t>
      </w:r>
    </w:p>
    <w:p>
      <w:r>
        <w:rPr>
          <w:b/>
        </w:rPr>
        <w:t>E. 7</w:t>
      </w:r>
    </w:p>
    <w:p>
      <w:r>
        <w:t>condamnations entre octobre 2016 et janvier 2019 pour diverses infractions, dont notamment pour vol (à deux reprises), recel, dommages à la propriété, vol d’usage d’un véhicule automobile (à trois reprises) et violation de domicile (à trois reprises). Au terme du jugement attaqué, l’intéressé a notamment été reconnu coupable d’une dizaine de cas de vol, la plupart accompagnés d’une violation de domicile. Même si la plupart de ces infractions sont contestées en appel, à ce stade, au vu de la condamnation en première instance, des soupçons suffisants au sens de l’art. 221 CPP existent que ces infractions aient été commises. Il y a ainsi lieu de constater que R.________ a recommencé à commettre des vols dès l’été 2018, à peine sa libération conditionnelle prononcée par les autorités genevoises, et après qu’il a purgé plusieurs peines privatives de liberté qui n’ont manifestement eu aucun effet sur lui. Il semble même avoir redoublé son activité criminelle entre fin janvier et début février 2019, alors qu’il venait d’être condamné à une nouvelle peine privative de liberté de 6 mois le 31 janvier 2019. On constate en outre une intensification de l’activité délictuelle et une augmentation de la fréquence des agissements de l’intéressé. L’existence d’un risque de récidive est par conséquent manifeste, étant de surcroît précisé que R.________ ne dispose d’aucune ressource financière licite. Ensuite, le requérant est un ressortissant français sans domicile, sans ressource et sans la moindre attache en Suisse. Au vu de la peine privative de liberté de 36 mois prononcée à son encontre, et de l’expulsion du territoire suisse dont il fait l’objet, pour une durée de 10 ans, le risque qu’il tente de se soustraire à l’action pénale ainsi qu’à sa sanction dans l’hypothèse où il devait être libéré est patent. Enfin, c’est en vain que R.________ invoque un prétendu risque pour sa santé en raison de la propagation de la pandémie du coronavirus. En effet, comme l’a à juste titre fait remarquer le Ministère public dans ses déterminations, les mesures sanitaires prises par les établissements pénitentiaires sont telles que la santé du requérant n’est pas plus en danger à l’intérieur qu’à l’extérieur de la prison de la Croisée. C’est même probablement l’inverse. La détention pour des motifs de sûreté de R.________ est dès lors justifiée tant en raison de l’existence d’un risque de récidive que d’un risque de fuite, cette détention étant par ailleurs encore largement proportionnée dans sa durée, étant précisé que si par hypothèse la peine prononcée devait être confirmée, la fin de celle-ci interviendrait le 8 février 2022. 3. Au vu de ce qui précède, la demande de libération présentée par R.________ le 17 mars 2020 doit être rejetée. Les frais du présent prononcé suivent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