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113 vom 19. März 2020</w:t>
      </w:r>
    </w:p>
    <w:p>
      <w:r>
        <w:t>VD Tribunal cantonal, 2020-03-19, FR</w:t>
      </w:r>
    </w:p>
    <w:p>
      <w:r>
        <w:rPr>
          <w:b/>
        </w:rPr>
        <w:t xml:space="preserve">Quelle: </w:t>
      </w:r>
      <w:r>
        <w:t>https://mcp.opencaselaw.ch/entscheid/vd_findinfo_Jug___2020___113</w:t>
      </w:r>
    </w:p>
    <w:p>
      <w:r>
        <w:t>FR: VD_FINDINFO Jug / 2020 / 113 du 19 mars 2020</w:t>
      </w:r>
    </w:p>
    <w:p>
      <w:r>
        <w:t>IT: VD_FINDINFO Jug / 2020 / 113 del 19 marzo 2020</w:t>
      </w:r>
    </w:p>
    <w:p>
      <w:pPr>
        <w:pStyle w:val="Heading2"/>
      </w:pPr>
      <w:r>
        <w:t>Regeste</w:t>
      </w:r>
    </w:p>
    <w:p>
      <w:r>
        <w:t>DÉTENTION POUR DES MOTIFS DE SÛRETÉ, RISQUE DE RÉCIDIVE, PROPORTIONNALITÉ | 212 al. 3 CPP (CH), 221 al. 1 let. c CPP (CH), 233 CPP (CH)</w:t>
      </w:r>
    </w:p>
    <w:p>
      <w:pPr>
        <w:pStyle w:val="Heading2"/>
      </w:pPr>
      <w:r>
        <w:t>Erwägungen</w:t>
      </w:r>
    </w:p>
    <w:p>
      <w:r>
        <w:rPr>
          <w:b/>
        </w:rPr>
        <w:t>E. 1.1</w:t>
      </w:r>
    </w:p>
    <w:p>
      <w:r>
        <w:t>Dès que la juridiction d'appel est saisie (art. 399 al. 2 CPP [Code de procédure pénale suisse du 5 octobre 2007;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w:t>
      </w:r>
    </w:p>
    <w:p>
      <w:r>
        <w:rPr>
          <w:b/>
        </w:rPr>
        <w:t>E. 1.2</w:t>
      </w:r>
    </w:p>
    <w:p>
      <w:r>
        <w:t>En l’espèce, A.________ a sollicité sa libération immédiate après l’audience d’appel de sorte que sa demande est recevable.</w:t>
      </w:r>
    </w:p>
    <w:p>
      <w:r>
        <w:rPr>
          <w:b/>
        </w:rPr>
        <w:t>E. 2</w:t>
      </w:r>
    </w:p>
    <w:p>
      <w:r>
        <w:t>A.________, qui exécute actuellement sa peine de manière anticipée, soutient que sa détention pour des motifs de sûreté viole l’art. 212 al. 3 CPP dans la mesure où elle excède la peine privative de liberté prévisible, en tenant compte d’une libération conditionnelle, laquelle apparaitrait évidente en raison de l’existence d’un pronostic favorable au sens de l’art. 86 al. 1 CP (Code pénal du 21 décembre 1937; RS 311.0). Il se réfère à l’arrêt du Tribunal fédéral 1B_23/2019 du 23 janvier 2019, de la durée de sa détention, qui approche des deux tiers du total de sa peine, des conclusions du rapport de détention du 10 mars 2020 et expose en outre qu’il aurait été accusé à tort de trois brigandages jusque devant la Cour d’appel pénale, ce qui pouvait expliquer son sentiment d’injustice.</w:t>
      </w:r>
    </w:p>
    <w:p>
      <w:r>
        <w:rPr>
          <w:b/>
        </w:rPr>
        <w:t>E. 2.1.1</w:t>
      </w:r>
    </w:p>
    <w:p>
      <w:r>
        <w:t>Selon l'art. 221 CPP, la détention provisoire et la détention pour des motifs de sûreté ne peuvent être ordonnées que lorsque le prévenu est fortement soupçonné d'avoir commis un crime ou un délit et qu'il y a sérieusement lieu de craindre :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w:t>
      </w:r>
    </w:p>
    <w:p>
      <w:r>
        <w:rPr>
          <w:b/>
        </w:rPr>
        <w:t>E. 2.1.2</w:t>
      </w:r>
    </w:p>
    <w:p>
      <w:r>
        <w:t>En vertu des art. 31 al. 3 Cst. (Constitution fédérale de la Confédération suisse du 18 avril 1999; RS 101) et 5 par. 3 CEDH (Convention de sauvegarde des droits de l’homme et des libertés fondamentales du 4 novembre 1950; RS 0.101 ) , toute personne qui est mise en détention préventive a le droit d'être jugée dans un délai raisonnable ou d'être libérée pendant la procédure pénale. L'art. 212 al. 3 CPP rappelle cette exigence en précisant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143 IV 168 consid. 5.1; ATF 139 IV 270 consid. 3.1 et les arrêts cités).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 145 IV 179 consid. 3.4; ATF 143 IV 168 consid. 5.1); pour entrer en considération sur cette dernière hypothèse, son octroi doit être d'emblée évident (TF 1B_23/2019 du 28 janvier 2019 consid. 2.1; TF 1B_82/2013 du 27 mars 2013 consid. 3.2 in Pra 2013 74 54).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(TF 1B_116/2019 du 11 avril 2019 consid. 3.5, publié aux ATF 145 IV 179). Ainsi, le Tribunal fédéral, dans son arrêt du 11 avril 2019, a nuancé l’affirmation contenue dans l’arrêt 1B_23/2019 du 28 janvier 2019, auquel le requérant se réfère, et il a considéré que l’écoulement du temps n’était pas à lui seul déterminant.</w:t>
      </w:r>
    </w:p>
    <w:p>
      <w:r>
        <w:rPr>
          <w:b/>
        </w:rPr>
        <w:t>E. 2.1.3</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(TF 6B_11/2018 du 9 mai 2018 consid. 1.1;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(TF 6B_11/2018 précité ; ATF 133 IV 201 consid. 2.3). Par sa nature même, le pronostic ne saurait être tout à fait sûr. Il faut se contenter d'une certaine probabilité, un risque de récidive étant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Il y a également lieu de rechercher si la libération conditionnelle, éventuellement assortie d'une assistance de probation et de règles de conduite, ne favoriserait pas mieux la resocialisation de l'auteur que l'exécution complète de la peine (ATF 124 IV 193 consid. 4d/aa et bb, JdT 2000 IV 162).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ibidem). Le pronostic doit également tenir compte de la durée de la privation de liberté déjà subie par l'auteur (CREP 31 octobre 2017/738 consid. 2.1).</w:t>
      </w:r>
    </w:p>
    <w:p>
      <w:r>
        <w:rPr>
          <w:b/>
        </w:rPr>
        <w:t>E. 2.2</w:t>
      </w:r>
    </w:p>
    <w:p>
      <w:r>
        <w:t>En l’espèce, les conditions de la détention pour des motifs de sûreté de A.________ demeurent réalisées au vu de sa condamnation confirmée en appel et de l’existence d’un risque de récidive. Sous l’angle du principe de la proportionnalité, on ne saurait par ailleurs considérer que le pronostic est certain et que les conditions d’une libération conditionnelle sont d’emblée réunies en l’état. Le prévenu a malgré son jeune âge, un casier judiciaire chargé (cf. supra let. A b)). Sa condamnation du 21 janvier 2016 par le Tribunal des mineurs pour des faits d’une très grande gravité ne l’a pas empêché de mettre sur pied un trafic important de stupéfiants, ni de continuer son activité après sa condamnation du 20 août 2017. Par ailleurs, outre les diverses autres infractions pour lesquelles sa condamnation a été confirmée par la Cour de céans, A.________ a participé à un brigandage en octobre 2017, dans lequel il conteste être impliqué alors que tout l’incrimine. La prise de conscience dont il se prévaut est donc relative – comme le confirment le ch. 10 et la conclusion du rapport de détention du 10 mars 2020 – et son sentiment d’injustice dès lors est largement injustifié malgré son acquittement pour le brigandage de trois stations-services. Cela étant, son comportement en détention a été meilleur lors de sa première détention provisoire à la Prison du Bois-Mermet, où il a été incarcéré du 30 novembre 2017 au 26 avril 2018 (P. 289), qu’à la prison de la Croisée où il a été détenu par la suite du 11 juin 2018 au 25 novembre 2019 (P. 294), et où plusieurs sanctions disciplinaires ont été prononcées à son encontre (cf. supra let. A d)). Depuis cette date, il est détenu dans l’Etablissement de détention pour mineurs et jeunes adultes des Léchaires et, enfin, il semble adopter un comportement constructif. Malgré cette évolution certes favorable mais encore récente, le processus qui permettra à A.________ d’assumer complètement ses actes et de se distancer de son passé délinquant n’est pas encore assez abouti au vu notamment de ses déclarations à l’audience d’appel. C’est du reste dans ce sens qu’il y a lieu d’interpréter la conclusion du rapport de détention, qui décrit le prénommé comme étant un jeune adulte en cours de maturation, rapport qui énumère au demeurant la présence de divers facteurs favorables à une maturation positive ainsi qu’au renforcement des facteurs de protection et « de désistance face à la récidive », ce qui sous-entend une évolution encore nécessaire. Dans ces circonstances, on ne discerne pas, à ce stade, de violation du principe de la proportionnalité.</w:t>
      </w:r>
    </w:p>
    <w:p>
      <w:r>
        <w:rPr>
          <w:b/>
        </w:rPr>
        <w:t>E. 3</w:t>
      </w:r>
    </w:p>
    <w:p>
      <w:r>
        <w:t>Au vu de ce qui précède, la détention pour des motifs de sûreté de A.________ est justifiée et sa demande de mise en liberté immédiate doit être rejetée. Les frais du présent prononcé, par 990 fr. (art. 21 al. 1 TFIP [Tarif des frais de procédure et indemnités en matière pénale du 28 septembre 2010; BLV 312.03.1]), ainsi que des frais imputables à la défense d’office (art. 422 al. 1 et 2 let. a CPP), fixés à 360 fr., auxquels il convient d’ajouter des débours forfaitaires à concurrence de 2%, par 7 fr. 20, plus la TVA, par 28 fr. 30, soit à 395 fr. 50 au total, seront mis à la charge de A.________, qui succombe (art. 428 al. 1 CPP). Le remboursement à l'Etat de l'indemnité allouée au défenseur d'office du requérant ne sera exigible que pour autant que la situation financière de ce dernier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