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111 vom 17. September 2019</w:t>
      </w:r>
    </w:p>
    <w:p>
      <w:r>
        <w:t>VD Tribunal cantonal, 2019-09-17, FR</w:t>
      </w:r>
    </w:p>
    <w:p>
      <w:r>
        <w:rPr>
          <w:b/>
        </w:rPr>
        <w:t xml:space="preserve">Quelle: </w:t>
      </w:r>
      <w:r>
        <w:t>https://mcp.opencaselaw.ch/entscheid/vd_findinfo_Jug___2020___111</w:t>
      </w:r>
    </w:p>
    <w:p>
      <w:r>
        <w:t>FR: VD_FINDINFO Jug / 2020 / 111 du 17 septembre 2019</w:t>
      </w:r>
    </w:p>
    <w:p>
      <w:r>
        <w:t>IT: VD_FINDINFO Jug / 2020 / 111 del 17 settembre 2019</w:t>
      </w:r>
    </w:p>
    <w:p>
      <w:pPr>
        <w:pStyle w:val="Heading2"/>
      </w:pPr>
      <w:r>
        <w:t>Regeste</w:t>
      </w:r>
    </w:p>
    <w:p>
      <w:r>
        <w:t>ESCROQUERIE, OBTENTION ILLICITE DE PRESTATIONS D'UNE ASSURANCE SOCIALE, FIXATION DE LA PEINE, PEINE COMPLÉMENTAIRE, CONCOURS D'INFRACTIONS, SURSIS PARTIEL À L'EXÉCUTION DE LA PEINE | 146 al. 1 CP, 43 CP, 47 CP, 48 let. d CP, 49 CP</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B.Q.________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3.1</w:t>
      </w:r>
    </w:p>
    <w:p>
      <w:r>
        <w:t>L'appelant soutient que les montants qu'il a admis avoir reçus, à concurrence de 41'676 fr. 95, n'auraient pas eu à être annoncés au CSR, car il s’agissait de montants reçus de proches ou d'assurances qui ne correspondraient pas à des revenus et qui avaient en outre été crédités sur ses comptes bancaires auprès de la Banque Cantonale Vaudoise (BCV) et de l’UBS, dont les services sociaux connaissaient l'existence. Il fait valoir que le formulaire attestant de l'annonce de l'intégralité des revenus qu’il aurait complété n’aurait pas mentionné, à ce titre, les prêts consentis par des tiers. Il invoque l'absence de toute astuce ou, à tout le moins, le défaut d'élément subjectif, car il n'aurait à aucun moment eu conscience de commettre une éventuelle tromperie. Il se prévaut également du fait qu'il aurait immédiatement fourni à l'autorité les extraits des comptes bancaires demandés. En définitive, si l'appelant ne conteste pas son obligation de restituer les montants perçus indûment, il conteste toute responsabilité pénale.</w:t>
      </w:r>
    </w:p>
    <w:p>
      <w:r>
        <w:rPr>
          <w:b/>
        </w:rPr>
        <w:t>E. 3.2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l'astuce que dans des cas exceptionnels (ATF 142 IV 153 consid. 2.2.2 ; ATF 135 IV 76 consid. 5.2). La définition générale de l'astuce est également applicable à l'escroquerie en matière d'aide et d'assurances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6B_392/2016 du 10 novembre 2016 consid. 2.1.2 ; TF 6B_117/2015 du 11 février 2016 consid. 2.3.2). L'infraction d'escroquerie se commet en principe par une action. Tel est le cas lorsqu'elle est perpétrée par actes concluants (ATF 140 IV 11 consid. 2.3.2, JdT 2014 IV 217). L'assuré ayant l'obligation de communiquer toute modification importante des circonstances déterminantes pour l'octroi d'une prestation qui ne respecte pas cette obligation et qui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JdT 2009 I 577).</w:t>
      </w:r>
    </w:p>
    <w:p>
      <w:r>
        <w:rPr>
          <w:b/>
        </w:rPr>
        <w:t>E. 3.3</w:t>
      </w:r>
    </w:p>
    <w:p>
      <w:r>
        <w:t>En l’espèce, on peut d'emblée objecter à l'appelant qu'en signant le formulaire de demande de RI le 23 janvier 2014, il s'est engagé à signaler immédiatement à l'autorité tout changement de sa situation financière aussi longtemps que des prestations étaient versées (P. 4/1/1, p.</w:t>
      </w:r>
    </w:p>
    <w:p>
      <w:r>
        <w:rPr>
          <w:b/>
        </w:rPr>
        <w:t>E. 6</w:t>
      </w:r>
    </w:p>
    <w:p>
      <w:r>
        <w:t>n. 2). A titre d’exemples, le formulaire mentionne notamment l’obtention d’une rente AVS, AI ou LPP, l’obtention d’indemnités de chômage, accidents, maladie ou perte de gain, ou le versement d’un capital LPP ( ibidem ). Or, il ne pouvait manifestement échapper au prévenu que le fait que ses comptes bancaires soient crédités à plusieurs reprises de sommes d'argent constituait une modification de sa situation financière. Au contraire, B.Q.________ a certifié au CSR qu'aucun changement de fortune n'était intervenu pendant la période durant laquelle son épouse et lui ont bénéficié des prestations sociales, soit du 1 er décembre 2013 au 30 novembre 2014. Il s'est comporté de la sorte en signant, chaque mois durant la période considérée, le formulaire de déclarations de revenus, qui comporte la rubrique « [a]utre(s) revenu(s) (héritages, loteries, dons, rétribution pour la tenue du ménage, ristourne chauffage, …) » suivie de la mention « [p]réciser » (P. 4/1/18) – jamais complétées –, ce qui démontre encore si besoin que le prévenu avait conscience que tout actif entrant dans son patrimoine devait faire l'objet d'une annonce. A cet égard, il y a encore lieu de considérer que les aides financières qu’a reçues l’appelant constituent en réalité des dons, et non des prêts comme il tente de le soutenir. En effet, le prévenu a admis que ces aides provenaient d’amis ou de membres de sa famille (cf. p. 3). Ses proches étaient nécessairement au courant de sa situation économique obérée et ne pouvaient donc s’attendre à être remboursés. En cas contraire, l’appelant, conscient de l’importance de la question, n’aurait pas manqué de produire les reconnaissances de dettes qu’il prétend avoir fait signer à l’une de ses filles (cf. p. 3). Or, les « dons » figurent bien, à titre exemplatif, dans la rubrique « [a]utre(s) revenu(s) » du questionnaire mensuel et déclaration de revenus du CSR. Le fait de remplir ce questionnaire tous les mois en ne mentionnant pas ces éléments constitue dès lors bien un comportement actif punissable. Au demeurant, conformément à la jurisprudence du Tribunal fédéral, il n'appartient pas aux services sociaux de demander des extraits de comptes lorsque l'autorité peut partir du principe que les revenus du bénéficiaire sont inchangés. De toute manière, le CSR a régulièrement demandé des informations d'ordre professionnel au prévenu, qui a répété ne tirer aucun revenu de sociétés avec lesquelles il était en relation (cf. P. 4/1/4). L'appelant ne peut rien tirer du fait qu'il a finalement produit les extraits de comptes bancaires qui ont mis en évidence l'obtention de montants non déclarés, puisque c'est dans le cadre de la révision annuelle de son dossier et sur demande du CSR qu'il les a produits. Compte tenu des mentions figurant dans les différents formulaires et de l'obligation initiale d'annoncer tout changement de sa situation financière, l'appelant ne peut prétendre être de bonne foi. D'ailleurs, il tombe sous le sens que l'aide de tiers ou le versement de prestations d'autres assurances a une incidence sur l'ampleur des prestations sociales allouées, de sorte que le bénéficiaire ne peut avoir que conscience de tromper l'autorité s'il n'annonce pas ces apports conformément aux engagements pris. Partant, l'escroquerie est bien réalisée et la condamnation de l'appelant pour cette infraction doit être confirmée. 4. L'appelant relève que le premier juge a fixé une peine ferme, ce qui ne résisterait selon lui pas à l'examen puisque les faits remontent à plus de cinq ans. Il ne critique toutefois pas expressément le genre de peine.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 ATF 141 IV 61 consid. 6.1.1 et les réf. citées).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 4.1.2 En vertu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 re phrase). Pour fixer la quotité de la peine ferme et celle qui sera assortie du sursis,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(cf. art. 47 CP), puis doit être prise en compte de manière appropriée dans un deuxième temps pour déterminer la partie de la peine qui devra être exécutée (TF 6B_1323/2015 du 2 septembre 2016 consid. 1.1 ; TF 6B_713/2007 du 4 mars 2008 consid. 2.3). 4.2 On rappelle que l’appelant doit en l’occurrence être sanctionné pour des faits constitutifs d’escroquerie, infraction passible d’une peine privative de liberté de cinq ans au plus ou d’une peine pécuniaire (art. 146 al. 1 CP). La culpabilité de l’intéressé a été appréciée de manière adéquate par le Tribunal de police, qui a notamment tenu compte, à charge, des trois antécédents de ce prévenu, de sa persistance à nier avoir voulu tromper les services sociaux et de l’absence de tout remboursement des prestations perçues indûment (jugement, p. 14). Compte tenu de la répétition durable d’infractions d’une certaine gravité, le prononcé d’une peine privative de liberté s’impose pour des motifs de prévention spéciale. Cette peine sera entièrement complémentaire à celle de trente mois prononcée par la Chambre pénale d’appel et de révision du canton de Genève le 16 janvier 2017, soit postérieurement aux faits faisant l’objet de la présente procédure, qui ont été commis entre janvier et novembre 2014. Les abus de confiance commis à réitérées reprises entre les mois de mai 2008 et de mai 2011, formant une unité, sont les infractions les plus graves, sanctionnées par une peine privative de liberté de trente mois. Par l’effet du concours, cette peine doit être augmentée de cinq mois pour l’escroquerie à l’aide sociale. La peine d’ensemble hypothétique pour réprimer, d’une part, l’infraction commise par le prévenu dans le cadre de la présente procédure et, d’autre part, les abus de confiance ayant donné lieu à la condamnation de celui-ci du 16 janvier 2017 s’élève donc à trente-cinq mois. En conséquence, c’est à juste titre que le juge de première instance a condamné B.Q.________ à une peine privative de liberté de cinq mois. La peine d’ensemble demeurant inférieure à trois ans, se pose la question de l’octroi du sursis sur la peine complémentaire. Dans l’appréciation de la faute de l’appelant, il y a lieu de tenir compte du fait que les actes devant être sanctionnés, perpétrés en 2014, sont relativement anciens et que, depuis lors, B.Q.________ n’a pas été poursuivi pénalement pour avoir commis de nouvelles infractions. On peut dès lors partir du principe que l’exécution de la peine n’est pas nécessaire pour des motifs de prévention spéciale. Il se justifie dès lors d’octroyer le sursis sur la peine complémentaire de cinq mois. 5. En définitive, l’appel doit être partiellement admis et le jugement attaqué réformé dans le sens des considérants qui précèdent. Vu l’issue de la cause, les frais de la procédure d’appel, constitués de l’émolument d’audience et de jugement, par 1'830 fr. (art. 21 al. 1 et 2 TFIP [Tarif des frais de procédure et indemnités en matière pénale du 28 septembre 2010 ; BLV 312.03.1]), seront mis par deux tiers, soit par 1'220 fr., à la charge de B.Q.________ (art. 428 al. 1, 1 re phrase, CPP), le solde étant laissé à la charge de l’Etat. L’appelant obtenant gain de cause sur la question du mode d’exécution de la peine, il a droit à une indemnité réduite pour les dépenses obligatoires occasionnées par l’exercice raisonnable de ses droits dans le cadre de la procédure d’appel, au sens de l’art. 429 al. 1 let. a CPP, en lien avec cette question, qu’il convient d’arrêter à 600 fr. toutes taxes comprises. La part des frais de la procédure d’appel mise à la charge de B.Q.________ sera compensée avec l’indemnité allouée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