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 vom 3. April 2020</w:t>
      </w:r>
    </w:p>
    <w:p>
      <w:r>
        <w:t>VD Tribunal cantonal, 2020-04-03, FR</w:t>
      </w:r>
    </w:p>
    <w:p>
      <w:r>
        <w:rPr>
          <w:b/>
        </w:rPr>
        <w:t xml:space="preserve">Quelle: </w:t>
      </w:r>
      <w:r>
        <w:t>https://mcp.opencaselaw.ch/entscheid/vd_findinfo_Jug___2020___1</w:t>
      </w:r>
    </w:p>
    <w:p>
      <w:r>
        <w:t>FR: VD_FINDINFO Jug / 2020 / 1 du 3 avril 2020</w:t>
      </w:r>
    </w:p>
    <w:p>
      <w:r>
        <w:t>IT: VD_FINDINFO Jug / 2020 / 1 del 3 aprile 2020</w:t>
      </w:r>
    </w:p>
    <w:p>
      <w:pPr>
        <w:pStyle w:val="Heading2"/>
      </w:pPr>
      <w:r>
        <w:t>Regeste</w:t>
      </w:r>
    </w:p>
    <w:p>
      <w:r>
        <w:t>LÉGITIMATION ACTIVE ET PASSIVE, RESPONSABILITÉ CONTRACTUELLE, LIEN DE CAUSALITÉ, DOMMAGE | 394 CO, 42 CO, 46 CO, 47 CO, 61 CO</w:t>
      </w:r>
    </w:p>
    <w:p>
      <w:pPr>
        <w:pStyle w:val="Heading2"/>
      </w:pPr>
      <w:r>
        <w:t>Erwägungen</w:t>
      </w:r>
    </w:p>
    <w:p>
      <w:r>
        <w:rPr>
          <w:b/>
        </w:rPr>
        <w:t>E. 31</w:t>
      </w:r>
    </w:p>
    <w:p>
      <w:r>
        <w:t>décembre 2010, BLV 173.01), plus particulièrement l'art. 74 al. 2 LOJV, sont également applicables. III. Les demandeurs concluent au paiement, par la défenderesse, d'un montant de 194'332 fr. 80. Ils réclament le remboursement de leur dommage, soit l'indemnisation de la perte de gain effective de la demanderesse, la participation de la défenderesse à l'assurance-maladie de la demanderesse, l'indemnisation du tort moral de chacun des demandeurs et le paiement de leurs frais d'avocat avant procès. La défenderesse conclut au rejet des prétentions des demandeurs. Elle soutient que le demandeur n'a pas la légitimation active et que la prise en charge de la demanderesse par la défenderesse lors de son accouchement ainsi que les problèmes gynécologiques qui ont suivi n'ont entraîné aucun dommage dont elle devrait répondre. D'après elle, la demanderesse n'a pas apporté la preuve de l'existence d'un éventuel dommage en lien avec les manquements aux règles de l'art retenus, le tort moral réclamé en lien avec l'accouchement prématuré ou avec les problèmes gynécologiques de la demanderesse n'a pas été démontré, les frais liés à l'assurance-maladie de la demanderesse ont été entièrement pris en charge par dite assurance et les frais d'avocat avant procès ont été pris en charge par l'assurance de protection juridique des demandeurs. IV. a) Toute modification, réduction ou augmentation des conclusions est possible jusqu'à la clôture de l'audience préliminaire ou dans les dix jours après la communication d’un rapport d’expertise et doit être faite par requête, notifiée par le juge à la partie adverse ou par dictée au procès-verbal (art. 267 al. 1 et 268 CPC-VD). b) En l'espèce, les modifications que les demandeurs ont apportées à leurs conclusions prises au pied de leur demande du 13 juillet 2010 l'ont été lors de l'audience préliminaire complémentaire du 7 novembre 2016. Il sera dès lors tenu compte de l'augmentation de leurs conclusions à hauteur de 194'332 fr. 80. V. a) L'art. 3 LPFES (loi sur la planification et le financement des établissements sanitaires public du 5 décembre 1978, BLV 810.01) et les art. 144 LSP (loi sur la santé publique du 29 mai 1985, BLV 800.1) distinguent quatre catégories d'établissements sanitaires, soit les établissements sanitaires cantonaux exploités directement par l'Etat, notamment le CHUV, les institutions sanitaires constituées en établissements de droit public, par exemple la Policlinique universitaire, les établissements sanitaires privés reconnus d'intérêt public, notamment les hôpitaux membres de la Fédération des hôpitaux vaudois et les établissements sanitaires privés qui ne sont pas reconnus d'intérêt public, en particulier les cliniques privées. Selon l'art. 61 CO (Code suisse des obligations du 30 mars 1911; RS 220), la législation fédérale ou cantonale peut déroger aux art. 41 ss CO en ce qui concerne la responsabilité encourue par des fonctionnaires et employés publics pour le dommage ou le tort moral qu'ils causent dans l'exercice de leur charge. L'Etat de Vaud a fait usage de cette faculté en édictant la LRECA (loi du 16 mai 1961 sur la responsabilité de l'Etat, des communes et de leurs agents; BLV 170.11) qui institue, à ses art. 4 et 5, une responsabilité exclusive de l'Etat s'agissant de la réparation du dommage que ses agents causent à des tiers de manière illicite. b) En l'espèce, la défenderesse est une association au sens des art. 60 ss CC (Code civil suisse du 10 décembre 1907, RS 210), dont le but était l’exploitation d’un établissement hospitalier multi-site, en particulier l'Hôpital d' [...]. Elle soutient désormais les structures de soins du [...], en particulier l'Hôpital [...], [...] à [...], notamment par la mise à disposition de l'immeuble de son site à [...]. Membre de la Fédération des hôpitaux vaudois, elle a dès lors un statut d'hôpital reconnu d'intérêt public au sens de l'art. 3 LPFES. La LRECA ne s'applique pas, aucune base légale ne soumettant un hôpital privé reconnu d'intérêt public au droit public. Les rapports entre les parties relèvent dès lors exclusivement du droit privé. VI. a) La défenderesse prétend que le demandeur n'a pas la légitimation active et qu'il ne peut se prévaloir d'aucun chef de responsabilité, ni de dommage, faute d'intérêt digne de protection. b) Le défaut de légitimation active ou passive est un moyen de fond qui doit être examiné d’office par le juge à la lumière des règles de droit matériel et non des règles de procédure. Il s’agit d’un conflit sur la titularité du droit. En principe, seule est légitimée comme partie au procès celle qui est personnellement titulaire d’un droit ou contre laquelle personnellement un droit est exercé. Le défaut de légitimation active (ou passive) entraîne le rejet de l’action (TF 4A_79/2010 consid. 2.1 ; ATF 130 III 417 consid. 3.1, rés. in JdT 2004 I 268 ; ATF 128 III 50 consid. 2bb ; ATF 123 III 60 consid. 3a, rés. in JdT 1998 I 25). Le juge doit vérifier d’office l’existence de la légitimation active et passive. Toutefois, dans les procès soumis à la maxime des débats, il ne le fait qu’au regard des faits allégués par les parties et prouvés, c’est-à-dire uniquement dans le cadre que les parties ont assigné au procès; iI appartient au demandeur de prouver les faits sur lesquels il fonde sa légitimation active (ATF 130 III 417 consid. 3.1, rés. in JdT 2004 I 268, SJ 2004 I p. 533; ATF 123 III 60 consid. 3a rés. in JdT 1998 I 25; Hohl, Procédure civile, Tome I, 2 e éd., Berne 2016, nn. 759 à 797). c) Selon les principes généraux du droit de la responsabilité civile, est seul lésé celui qui subit un dommage direct dans son patrimoine. Le tiers qui ne subit qu'un dommage réfléchi en raison d'une relation particulière avec le lésé direct n'a en principe aucune action contre l'auteur du dommage (ATF 127 III 403 consid. 4b/aa; ATF 117 II 315 consid. 4d ; ATF 116 Ib 367 consid. 4b ; ATF 112 II 118 consid. 5c). Il est toutefois dérogé au principe de la non-indemnisation du préjudice réfléchi lorsque la loi prévoit expressément une indemnisation ou lorsqu’une règle de comportement protège spécifiquement les intérêts du tiers lésé par ricochet. En tant qu’exception au principe, cela exige une interprétation restrictive (Brehm, La réparation du dommage corporel en responsabilité civile, 2002, n. 155). D’après la doctrine traditionnelle, la distinction entre le dommage propre et le dommage réfléchi se fonde sur la personne de la victime. Le dommage propre (Directschaden, Eigenschaden) serait alors celui que subit personnellement la victime de l’atteinte. Le dommage réfléchi (ou dommage par ricochet, Reflexschaden) serait celui que subit une tierce personne qui se trouve en dehors du rapport juridique créé par le fait dommageable entre la personne responsable et la victime de l’atteinte, mais qui est en relation avec cette dernière (Müller, La responsabilité civile extracontractuelle, Bâle 2013, n. 99; Werro, La responsabilité civile, 3 e éd., 2017, nn. 135 ss). En principe, seule la personne qui subit un dommage propre peut obtenir réparation (Müller, op. cit., n. 101; Werro, op. cit., n. 140). Une partie de la doctrine est d’avis qu’en réalité, ce n’est pas la personne de la victime qui doit servir de critère de distinction, mais la personne qui doit être protégée par la norme violée par l’auteur de l’événement dommageable. Le critère de distinction réside donc dans l’illicéité, plus précisément dans le but protecteur de la norme juridique violée. Ainsi, une tierce personne touchée dans ses propres droits absolus ne subit pas un dommage réfléchi, mais un dommage propre. C’est pourquoi, des personnes même indirectement touchées peuvent obtenir une réparation lorsqu’une norme protectrice idoine existe, comme – par exemple – la perte de soutien visée à l’art. 45 al. 3 CO (Müller, op. cit., nn. 102 et 103 p. 38 et les références citées). d) Selon l’art. 243 CPC-VD, si le juge entend s’écarter des conclusions d’une expertise, il est tenu de donner dans son jugement les motifs de sa conviction. La jurisprudence du Tribunal fédéral est encore plus exigeante: lorsque le juge entend s’écarter du résultat d’une expertise, il doit non seulement motiver sa décision, mais encore il ne saurait, sans motifs déterminants, substituer son appréciation à celle de l’expert.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(ATF 136 II 539 consid. 4.2 ; ATF 133 II 384 consid. 4.2.3 ; TF 5A_146/2011 du 7 juin 2011 consid. 4.2.1 ; ATF 129 I 49 consid. 4 ; Poudret et alii, Procédure civile vaudoise, n. 1 ad art. 243 CPC-VD ; Bosshard, L’appréciation de l’expertise judiciaire par le juge, in RSPC 2007 p. 321, spéc. pp. 324 ss et les références citées). e) En l'espèce, la question litigieuse concerne l'existence d'un dommage et du lien de causalité entre les problèmes gynécologiques qui ont suivi la mauvaise prise en charge de la demanderesse par la défenderesse lors de son accouchement et le prétendu dommage. Il n'est pas contesté que les relations qui lient la défenderesse et les patients relèvent de rapports contractuels, plus précisément d'un contrat de soin qui doit être qualifié de contrat de mandat au sens des art. 394 ss CO (ATF 132 III 359 consid. 3.1, JdT 2006 I 295). La défenderesse répond selon l'art. 101 CO du dommage causé par ses auxiliaires dans l'accomplissement de leur travail. Aux termes de l'art. 398 al. 2 CO, le mandataire est responsable envers le mandant de la bonne et fidèle exécution du mandat; l'alinéa premier renvoie à l'art. 321e CO, qui, selon la doctrine dominante, reprend le régime général de l'art. 97 CO. La violation, par le médecin, de son devoir de diligence - communément mais improprement appelée "faute professionnelle" - constitue, du point de vue juridique, une inexécution ou une mauvaise exécution de son obligation de mandataire et correspond ainsi, sur le plan contractuel, à la notion d'illicéité propre à la responsabilité délictuelle. En l'occurrence, la mauvaise prise en charge par la défenderesse a consisté en des actes lacunaires (absence de contrôle du placenta et absence de vérification de la vacuité de l'utérus de la demanderesse après l'accouchement) qui auraient engendré des complications gynécologiques ultérieures. En effet, il ressort de l'expertise médicale du 1 er février 2013 établie par la Dresse Begonia Martinez de Tejada, dont il n'existe aucun motif de s'écarter, que, si la procédure de délivrance du placenta a été correcte, il n'y a pas eu de révision placentaire et la demanderesse n'a pas bénéficié d'une vérification de la vacuité de son utérus. L'experte judiciaire médicale en a conclu que certains des problèmes gynécologiques post-partum de la demanderesse (endométrite et curetage) sont liés à la mauvaise prise en charge lors de l'accouchement. Ces manquements concernent tous l'intégrité corporelle de la demanderesse. Les demandeurs prétendent qu’une indemnité pour tort moral doit être allouée au demandeur en raison du stress qu’il a subi lors de l’accouchement prématuré de son enfant et en raison des complications gynécologiques subies par la demanderesse qui auraient eu des conséquences sur leur vie de couple. La défenderesse soutient que les difficultés conjugales dues à la situation médicale de la demanderesse est un dommage réfléchi qui n’est pas indemnisé en droit suisse, que le facteur subjectif du stress ressenti lors de l’accouchement prématuré ne donne pas droit à une indemnité pour tort moral, que le demandeur n’a pas allégué ni a fortiori établi qu’il avait subi une atteinte psychique en lien avec dit accouchement, et qu’il n’a dès lors pas la légitimation active. Cette question peut toutefois être laissée indécise, dès lors que la demande doit être rejetée, pour les motifs qui suivent. VII. a) Les manquements des médecins qui ont traité la demanderesse (absence de contrôle du placenta et absence de révision de la cavité utérine) ayant été admis, il convient d’examiner l'existence d'un lien de causalité naturelle et adéquate entre ceux-ci et les complications gynécologiques ultérieures de la demanderesse ainsi que le dommage qui en découlerait. b)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consid. 4.4.2, rés. in JdT 2009 I 47 et les arrêts cités). De manière générale, le responsable est tenu de réparer le dommage actuel tel qu'il a effectivement été subi (ATF 132 III 321 consid. 2.2.1, JdT 2006 I 447). Dans le domaine du droit de la responsabilité civile, l'interdiction de l'enrichissement est un principe général reconnu qui exclut d'allouer des dommages et intérêts qui seraient supérieurs au préjudice subi (ATF 131 III 12 consid. 7.1, JdT 2005 I 488 et les références citées). c) ca) Le préjudice de l'art. 46 al. 1 CO en cas de lésion corporelle résulte de l'impossibilité pour la victime d'utiliser pleinement sa capacité de travail. Il suppose que cette entrave cause un préjudice économique. Ce qui est dès lors déterminant est la diminution de la capacité de gain mais non pas l'atteinte à la capacité de travail comme telle. Selon la jurisprudence, le dommage consécutif à l'invalidité doit, autant que possible, être établi de manière concrète (SJ 2002 I 414 consid. 3b et les arrêts cités). Le juge partira du taux d'invalidité médicale (ou théorique) et recherchera ses effets sur la diminution de la capacité de gain ou l'avenir économique du lésé. Pour déterminer les conséquences pécuniaires de l'incapacité de travail, il faut estimer le gain qu'aurait obtenu le lésé de son activité professionnelle s'il n'avait pas subi l'événement (ATF 131 III 360 consid. 5, JdT 2005 I 502; ATF 129 III 135 consid. 2.2 et 2.3.2, JdT 2003 I 511).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compte tenu des améliorations ou changements de profession probables (ATF 131 III 360 consid. 5, JdT 2005 I 502; ATF 99 II 214 consid. 3a). Puis, il y a lieu de déduire de ce gain le revenu effectif de l'activité professionnelle exercée le cas échéant durant la même période. Doivent en effet être pris en considération les facteurs de réduction de la réparation qui reposent sur le devoir du lésé de faire ce qu'on peut exiger de lui pour empêcher ou réduire le dommage. Il faut tenir compte des circonstances pour déterminer le travail que peut raisonnablement effectuer la victime, étant précisé qu'en cas d'invalidité partielle, une capacité de gain théorique restante ne peut être prise en considération si elle n'est plus utilisable économiquement (SJ 2002 I 414 consid. 3b), ce qui est en principe présumé en cas de capacité de travail résiduelle égale ou inférieure à 20%. En revanche, dès que cette capacité est égale ou supérieure à 30%, elle doit être prise en compte dans la détermination du dommage, même si elle n'a pas été effectivement mise à profit (TF 4C.252/2003 du 23 décembre 2003 consid. 2.1 et les références citées). La différence entre le revenu de valide (revenu hypothétique qui aurait pu être réalisé sans l'événement) et le revenu d'invalide (revenu qui peut être réalisé après l'événement) représente le dommage concret issu de l'incapacité de travail (TF 4C.252/2003 du 23 décembre 2003 consid. 2.1; ATF 99 II 214 consid. 3a). D'après la jurisprudence, il y a lieu de prendre comme base de calcul pour évaluer la perte de gain subie par le lésé le salaire net de celui-ci, ce qui signifie que la totalité des cotisations aux assurances sociales doivent être déduites du salaire brut déterminant, soit celles à l'AVS, à l'AI, à l'APG et à l'AC, ainsi que les contributions du travailleur à la prévoyance professionnelle (TF 4C.234/2006 du 16 février 2007 consid. 3.1; ATF 129 III 135 consid. 2.2, JdT 2003 I 511). Il incombe au demandeur, respectivement au défendeur, de rendre vraisemblables les circonstances de fait dont le juge pourra inférer les éléments pertinents pour établir le revenu qu'aurait réalisé le lésé sans l'événement et, le cas échéant, apprécier si ce dernier pouvait compter avec une augmentation effective de son revenu ou à l'inverse une diminution de celui-ci (ATF 131 III 360 consid. 5.1, JdT 2005 I 502; ATF 129 III 135 consid. 2.2, JdT 2003 I 511). Ce principe n'est autre que la concrétisation de la règle selon laquelle la preuve du dommage incombe en principe au lésé et celle d'éléments susceptibles de justifier une réduction des dommages-intérêts au responsable (art. 42 al. 1 CO et 8 CC).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(ATF 133 III 462 consid. 4.4.2, rés. in JdT 2009 I 47). L'art. 42 al. 2 CO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consid. 4.4.2, rés. in JdT 2009 I 47 et les références citées). cb) En l'espèce, la demanderesse prétend au versement par la défenderesse d'un montant de 80'976 fr. 15 au titre de sa perte de gain effective pour la période du 26 mars 2008 au 24 juin 2009. Elle soutient que, dès la fin de son congé maternité et en raison des événements litigieux, elle a dû réduire son taux d'activité, ce qui aurait engendré la perte de son poste de chef d'équipe et aurait eu pour conséquence de diminuer ses revenus ainsi que ses bonus. Il ressort de l'expertise médicale du 27 décembre 2018 établie par la Dresse Begonia Martinez de Tejada, dont il n'existe aucun motif de s'écarter, que la demanderesse a présenté après l'accouchement une rétention placentaire avec ménorragies et dysménorrhées, une endométrite du post-partum, des synéchies (syndrome d'Asherman), un kyste de la glande de Bartholin, un kyste de l'ovaire à deux reprises, une coïnfection à champignons, une vaginose bactérienne et une infertilité secondaire. L'experte judiciaire médicale a précisé que la demanderesse présentait plusieurs facteurs de risque pour la rétention placentaire. En effet, le fait qu'elle ait accouché prématurément, qu'il y ait eu délivrance prolongée du placenta et que celui-ci était déchiqueté sont des éléments favorisant une telle issue. Selon l'experte, la rétention placentaire est associée à un risque accru d'endométrite et de syndrome d'Asherman, raison pour laquelle il est recommandé de procéder à une révision de la cavité utérine dans un tel cas. Toutefois, si ce geste peut diminuer le risque d'endométrite, il est en lui-même un facteur de risque pour l'endométrite durant le post-partum. Quant au syndrome d'Asherman, dont il peut résulter une infertilité secondaire, il est surtout associé au curetage effectué pour traiter la rétention de restes placentaires. S'agissant du kyste de Bartholin, l'experte a certifié qu'il n'avait rien à voir avec l'accouchement, ni avec la délivrance du placenta. Il n'est pas non plus établi que les kystes de l'ovaire, la coïnfection à champignons et la vaginose bactérienne ont constitué des suites de l'accouchement proprement dit. Selon l’experte, il est possible d’avoir des complications, même avec une prise en charge optimale, soit avec une révision du placenta post-délivrance, suivie ou non d’une révision de la cavité utérine. Le curetage ne fait d’ailleurs pas partie d’obligation du contrôle de la vacuité utérine, car il s’accompagne de risques de perforation utérine, d’infection et de synéchies. Selon l’experte médicale, les synéchies qui se sont formées dans le cas de la demanderesse sont plus associées au curetage qu’à la rétention placentaire en soi. On peut donc en déduire qu’il y aurait eu des complications même si elle avait subi un contrôle du placenta et une révision de la cavité utérine après l’accouchement. Il en est de même s’agissant des conséquences sur la fertilité de la demanderesse, puisque le syndrome d’Asherman est surtout associé au curetage effectué pour traiter la rétention de restes placentaires. Il ne ressort dès lors pas de l’expertise médicale que la situation de la demanderesse aurait été différente si le contrôle de son placenta avait été effectué, voire que cela aurait permis d’éviter qu’elle devienne stérile. Les demandeurs ont ainsi échoué à démontrer que l’atteinte subie par la demanderesse, qui est durable s’agissant de son infertilité, est le fait des médecins qui l’ont traitée et que les complications gynécologiques concernées ne seraient pas intervenues avec une prise en charge optimale par la défenderesse. S'agissant de la capacité de travail de la demanderesse, l'experte judiciaire médicale a relevé que, si les consultations médicales, les examens complémentaires, une hospitalisation et les soins à donner à un enfant prématuré justifiaient une réduction du taux d'activité professionnelle de la demanderesse, cela n'était pas le cas des complications gynécologiques en elles-mêmes qui ont été subies par cette dernière. Les éléments au dossier ne permettent donc pas d'établir que l'existence d'une perte de gain serait due aux problèmes médicaux rencontrés par la demanderesse du fait de la mauvaise prise en charge par la défenderesse lors de son accouchement. Au demeurant, l'expert judiciaire économique Dominique Perler, dans son rapport d'expertise du 16 mars 2017, n'a pu déterminer le salaire avec bonus que la demanderesse aurait pu percevoir entre 2007 et 2009, précisant en outre que le bonus n'était pas acquis à cette dernière. Ainsi, l'existence d'une éventuelle perte de gain de la demanderesse n'a pas été démontrée, ni le lien de causalité entre cette prétendue perte de gain et le chef de responsabilité dont répond la défenderesse. Il ne peut donc être fait droit à la prétention de cette dernière à ce titre. d) da) L'art. 46 al. 1 CO prévoit que le lésé ayant subi des lésions corporelles a droit au remboursement de ses frais. Sont considérés comme des frais au sens de cette disposition toutes les dépenses que le lésé doit encourir à la suite de la lésion, qu'il s'agisse aussi bien de frais actuels que de frais futurs, dans la mesure où ceux-ci sont prévisibles. Sont compris dans ce poste les frais de traitement (ambulance, hôpital, médecin, médicaments, soins, cure, physiothérapie, prothèse, etc), pour autant qu'ils soient justifiés d'un point de vue médical (Werro, op. cit., n. 1122; Brehm, op. cit., nn. 413). db) En l’espèce, la demanderesse prétend au remboursement, par la défenderesse, d'un montant de 3'076 fr. pour ses frais d'assurance-maladie. Il ressort seulement des attestations établies le 11 août 2009 par l'assurance-maladie pour l'autorité fiscale, s'agissant des prestations médicales remboursées du 1 er janvier 2007 au 31 juillet 2009, que la participation de la demanderesse à son assurance-maladie s'est élevée à 3'237 fr. 75. Or, le détail de ces prestations médicales n'a pas été allégué et ne figure pas sur les pièces produites. La cour de céans ne peut donc pas déterminer si les montants correspondants concernent exclusivement les problèmes médicaux gynécologiques de la demanderesse ou si certains d'entre eux concernent d'autres prestations médicales. Faute d'allégations et d'offres de preuve précises, on ne peut allouer à la demanderesse un montant au titre des frais médicaux prétendus. e) ea) L'art. 46 CO permet à la victime d'obtenir le remboursement de ses frais d'avocat (Werro, in Thévenoz/Werro (éd.), Commentaire romand, CO I, n. 6 ad art. 46 CO). Les frais de défense avant procès doivent être traités comme les dommages qui résultent directement d'une atteinte à l'intégrité corporelle ou aux choses (TF 4C.194/2002 du 19 décembre 2002; SJ 2001, p. 153). Les frais d'avocat entraînent en effet une dépense occasionnée par l'acte dommageable et, de ce fait, une diminution du patrimoine. Il s'agit d'un dommage au sens de l'art. 41 CO, indemnisable en qualité de frais au sens de l'art. 46 al. 1 CO (Brehm, op. cit., n. 440). S'il s'agit d'un cas d'une certaine importance ou dont le règlement est litigieux, le responsable doit, en règle générale, participer aux frais d'avocat du lésé (Brehm, op. cit., n. 442). Ces frais constituent cependant un dommage réparable selon le droit de la responsabilité civile, seulement dans la mesure où ils ne sont pas compris dans les dépens définis par la procédure cantonale (TF 4C.194/2002 du 19 décembre 2002; SJ 2001, p. 153). eb) En l’espèce, la demanderesse réclame le remboursement, par la défenderesse d'un montant de 7'107 fr. 55 pour ses frais d'avocat avant procès relatifs à la période du 27 septembre 2007 au 25 mars 2010. Or, la demanderesse a admis être au bénéfice d'une assurance protection juridique. Elle n'a toutefois pas produit le contrat d'assurance concerné qui aurait permis d'en examiner les conditions et d'arrêter un éventuel montant restant à sa charge pour des prestations qui ne seraient pas couvertes contractuellement. Faute d'allégations et d'offres de preuve précises, on ne peut allouer à la demanderesse un montant au titre des frais d'avocat prétendus. f) fa) En vertu de l'art. 47 CO,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(TF 4C.263/2006 du 17 janvier 2007 consid. 7.3; ATF 132 II 117 consid. 2.2.2; ATF 123 III 306 consid. 9b, rés. in JdT 1998 I 27). Comme telles, les lésions corporelles ne suffisent pas pour admettre l'existence d'un tort moral. L'exigence légale des "circonstances particulières" signifie que ces lésions, comme la souffrance qui en résulte, doivent revêtir une certaine gravité (Werro, op. cit., n. 169; Guyaz, L'indemnisation du tort moral en cas d'accident, in SJ 2003 II 1 ss, spéc. p. 16).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4A_227/2007 du 26 septembre 2007 consid.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op. cit., n. 170).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op. cit., n. 1426).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(TF 4C.263/2006 du 17 janvier 2007 consid. 7.3; ATF 132 II 117 consid. 2.2.3). Selon la méthode reconnue par le Tribunal fédéral, il convient, pour évaluer le tort moral, de prendre d'abord en compte la gravité objective de l'atteinte pour fixer le montant de base en fonction d'autres cas et, à titre indicatif, des barèmes proposés par la doctrine (ATF 132 II 117 consid. 2.2.3; TF 4A_423/2008 du 12 novembre 2008 consid. 2.1). Dans un deuxième temps, le montant objectif ainsi fixé sera modulé à l'aune des circonstances concrètes du cas d'espèce (ATF 132 II 117 consid. 2.2.3; TF 4A_423/2008 du 12 novembre 2008 consid. 2.1; TF 4C.263/2006 du 17 janvier 2006 consid. 7.3; TF 4C.55/ 2006 du 12 mai 2006 consid. 5.2; TF 4C.435/2005 du 5 mai 2006 consid. 4.2.1). Il n'est en général pas alloué de montant plus élevé que 70'000 fr. en cas de lésions corporelles (TF 4A_489/2007 du 22 février 2008 consid.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francs (ATF 132 II 117 consid. 2.5; ATF 123 III 306 consid. 9b, rés. in JdT 1998 I 27; ATF 121 II 369 consid. 6c, JdT 1997 IV 82; ATF 108 II 422 consid. 5, JdT 1983 I 104; TF 4A_373/2007 du 8 janvier 2008 consid. 3.3; TF 4C.103/2002 du 16 juillet 2002 consid. 5). En cas de lésions graves ayant laissé des séquelles physiques ou psychiques importantes, des montants compris entre 20'000 fr. et 50'000 fr. ont été alloués (ATF 116 II 733; ATF 116 II 295, JdT 1991 I 38; ATF 112 II 118, rés. in JdT 1986 I 506; ATF 112 II 138, rés. in JdT 1986 I 596; ATF 108 II 59, rés. in JdT 1982 I 285). Des lésions de moyenne gravité entraînant une invalidité partielle et une incapacité de gain temporaire ont pu être indemnisées par des montants compris entre 1'000 fr. et 20'000 francs (ATF 123 III 204, JdT 1999 I 9; ATF 110 II 163, rés. in JdT 1985 I 26; ATF 102 II 232, rés. in JdT 1977 I 122; ATF 102 II 18, rés. in JdT 1976 I 319; ATF 82 II 25, JdT 1956 I 324). fb) En l'espèce, la demanderesse réclame un montant de 20'000 fr. au titre d'indemnité pour tort moral. Elle a allégué que les problèmes gynécologiques qu’elle a subis ont engendré des désagréments qui ont également eu des répercussions sur sa vie de couple. Or, comme développé ci-dessus sous consid. VII c) cb), les demandeurs n’ont pas démontré qu’il existerait un lien de causalité entre les manquements des médecins qui ont traité la demanderesse (absence de contrôle du placenta et absence de révision de la cavité utérine) et les suites médicales de l’accouchement. L’expertise judiciaire médicale ne permet par ailleurs pas à la cour de céans de déduire que si ces actes avaient été effectués, les difficultés médicales de la demanderesse n’auraient pas eu lieu. Dite expertise a bien plutôt relevé que les complications gynécologiques concernées auraient pu intervenir, même avec une prise en charge optimale par la défenderesse. Compte tenu de ces éléments, aucun montant à titre de tort moral ne peut donc être alloué à la demanderesse. g) Au vu de ce qui précède, la demanderesse n'a pas apporté la preuve de l'existence d'un éventuel dommage en lien avec les manquements de la défenderesse aux règles de l'art qui ont été retenus. Les conclusions prises par la demanderesse doivent donc être rejetées. VIII. a) Selon l'art. 92 al. 1 CPC-VD, des dépens sont alloués à la partie qui obtient gain de cause. Ceux-ci comprennent principalement les frais de justice payés par la partie, les honoraires et les débours de son avocat (art. 91 litt. a et c CPC-VD). Les frais de justice englobent l'émolument de justice, ainsi que les frais de mesures probatoires. Les honoraires d'avocat sont fixés selon le tarif des honoraires d'avocat dus à titre de dépens du 17 juin 1986 (BLV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CPC-VD). b) En l’espèce, obtenant entièrement gain de cause, la défenderesse W.________ a droit à de pleins dépens, à la charge des demandeurs A.J.________ et B.J.________, solidairement entre eux, qu'il convient d'arrêter à 30’788 fr., savoir : a) 25’000 fr. à titre de participation aux honoraires de son conseil; b) 1’250 fr. pour les débours de celui‑ci; c) 4’538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