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82 vom 21. August 2019</w:t>
      </w:r>
    </w:p>
    <w:p>
      <w:r>
        <w:t>VD Tribunal cantonal, 2019-08-21, FR</w:t>
      </w:r>
    </w:p>
    <w:p>
      <w:r>
        <w:rPr>
          <w:b/>
        </w:rPr>
        <w:t xml:space="preserve">Quelle: </w:t>
      </w:r>
      <w:r>
        <w:t>https://mcp.opencaselaw.ch/entscheid/vd_findinfo_Jug___2019___82</w:t>
      </w:r>
    </w:p>
    <w:p>
      <w:r>
        <w:t>FR: VD_FINDINFO Jug / 2019 / 82 du 21 août 2019</w:t>
      </w:r>
    </w:p>
    <w:p>
      <w:r>
        <w:t>IT: VD_FINDINFO Jug / 2019 / 82 del 21 agosto 2019</w:t>
      </w:r>
    </w:p>
    <w:p>
      <w:pPr>
        <w:pStyle w:val="Heading2"/>
      </w:pPr>
      <w:r>
        <w:t>Regeste</w:t>
      </w:r>
    </w:p>
    <w:p>
      <w:r>
        <w:t>PERTE DE GAIN, TORT MORAL, SURASSURANCE | 41 CO, 47 CO, 49 CO, 58 LCR, 62 LCR, 65 LCR</w:t>
      </w:r>
    </w:p>
    <w:p>
      <w:pPr>
        <w:pStyle w:val="Heading2"/>
      </w:pPr>
      <w:r>
        <w:t>Erwägungen</w:t>
      </w:r>
    </w:p>
    <w:p>
      <w:r>
        <w:rPr>
          <w:b/>
        </w:rPr>
        <w:t>E. 31</w:t>
      </w:r>
    </w:p>
    <w:p>
      <w:r>
        <w:t>août 2019, il aurait ainsi pu obtenir un montant de 184'474 fr. 80 (17'852 fr. 40 [= 2'975 fr. 40 x 6 mois] + 142'819 fr. 20 [= 35'704 fr. 80 x 4 ans] + 23'803 fr. 20 [= 2'975 fr. 40 x 8 mois]) En définitive, il s'agit de déduire du revenu sans invalidité qui aurait été réalisé par le demandeur au jour du jugement, soit 727'515 fr., un montant de 364'062 fr. à titre de prestations versées par les assureurs sociaux, ainsi qu'un montant de 184'474 fr. 80 à titre de revenu qu'il était apte à réaliser à 60% dès le 1 er juillet 2014. Le demandeur subit donc une perte de gain passée de 178'978 fr. 20. ad) S'agissant de la perte de gain future du demandeur, il convient de capitaliser le salaire annuel net que le lésé aurait touché sans invalidité au jour du jugement et d'en déduire la valeur capitalisée des rentes allouées par les institutions sociales que l'intéressé percevra pour la période correspondante ainsi que le revenu exigible de sa part également capitalisé. Selon la jurisprudence constante du Tribunal fédéral, la capitalisation s'effectue, pour l’atteinte à l’avenir économique, selon un taux de capitalisation de 3,5 % (ATF 125 III 312 consid. 7; TF 4A_543/2015 et 4A_545/2015 du 14 mars 2016 consid. 6). Pour le calcul du dommage futur, l'âge ouvrant le droit à une rente de vieillesse du premier pilier correspond en règle générale, pour les salariés comme pour les indépendants, à la limite temporelle de l'activité professionnelle (ATF 136 III 310 consid. 4.2.2; TF 4A_665/2011 du 2 février 2012 consid. 3.2, in SJ 2012 I p. 423), soit 65 ans pour un homme (art. 21 al. 1 let. a LAVS [loi fédérale sur l'assurance-vieillesse et survivants du 20 décembre 1946; RS 831.10]). Il n’y a pas lieu de tabler de façon générale, pour le futur, sur une augmentation réelle des revenus, que ce soit sous la forme d’une réduction du taux de capitalisation de 1% ou autrement. Le Tribunal fédéral a précisé qu’il ne fallait admettre sans preuve particulière une telle augmentation que pour la compensation du dommage ménager, mais non pour la perte de gain (TF 4A_116/2008 du 13 juin 2008 consid. 3.1 non reproduit in ATF 134 III 489, JdT 2008 I 476; TF 4C.415/2006 consid. 4.4.4; ATF 125 III 312 consid. 5, JdT 2000 I 374). Il convient en revanche de tenir compte du renchérissement futur, celui-ci étant toutefois entièrement compensé par le taux de capitalisation de 3,5% (ATF 125 III 317 précité). Ainsi, pour la capitalisation des gains futurs du demandeur, il y a lieu de se fonder sur un revenu sans invalidité au jour du présent jugement de 55'080 fr. net par an, arrêté conformément aux considérations qui précèdent. On capitalisera ce salaire annuel net en appliquant un facteur de capitalisation de 16.79, tel qu'il découle de la table de capitalisation A3x ("rente temporaire d'activité jusqu'à l'âge de 65 ans") des tables et programmes de capitalisation de Stauffer/Schaetzle/Weber ( cf. Stauffer/Schaetzle/Weber, Tables et programmes de capitalisation, 6 e éd., Zurich – Bâle – Genève 2013 ), au vu de l'âge du demandeur au jour du présent jugement et du taux de capitalisation de 3,5% applicable selon la jurisprudence constante du Tribunal fédéral. Cela étant, en multipliant le revenu annuel déterminant de 55'080 fr. par le facteur de 16.79 retenu ci-dessus, l'on obtient un revenu futur sans invalidité jusqu'à l'âge de la retraite du demandeur d'un montant de 924'793 fr. 20. Aux fins de déterminer l’éventuelle perte de gain future, il convient d'imputer sur ce dernier revenu les prestations de l'AI que le demandeur percevra depuis la date du présent jugement, soit 184'011 fr. 68 (913 fr. 30 par mois, soit 10'959 fr. 60 par an, capitalisés à 16.79), ainsi que le salaire exigible durant la même période, soit 599'483 fr. 59 (35'704 fr. 80 par année x 16.79). Le demandeur subit donc une perte de gain future de 141'297 fr. 93. ae) Le tiers civilement responsable répond de la réduction future des prestations que les assurances sociales accorderont au lésé. Un tel préjudice, défini comme le dommage consécutif à la réduction d'une rente ( Rentenverkürzungsschaden ) ou dommage de rente ( Rentenschaden ), correspond à la perte de rentes de vieillesse, provoquée par une réduction du revenu, qui survient à la suite d'une atteinte à la capacité de gain (ATF 126 III 41 consid. 3, JdT 2000 I 367; TF 4C.197/2001 du 12 février 2002 consid. 4b, SJ 2002 I p. 414). Ce préjudice est une composante du dommage futur (TF 4A_463/2008 du 20 avril 2010 consid. 4.3 et les références citées). En d’autres termes, le dommage consiste en la réduction des prestations de vieillesse entraînée par des lacunes dans les cotisations. Il faut, lorsque cela est possible, procéder au calcul concret du dommage consécutif à la réduction d'une rente (ATF 126 III 41 précité consid. 3). Pour déterminer le dommage de rente direct, il convient de comparer les rentes d'invalidité et de vieillesse qui seront versées par les assurances sociales (AVS, LAA, LPP) avec les prestations de vieillesse que le lésé toucheraient sans l'accident. Le préjudice consécutif à la réduction d'une rente correspond donc à la différence entre les prestations de vieillesse hypothétiques et les prestations d'invalidité et de vieillesse déterminantes. L'expérience enseigne que les rentes de vieillesse hypothétiques atteignent en valeur, selon la quotité du revenu soumis à cotisation, une fourchette de 50% à 80% de la rémunération brute déterminante (pour le tout cf. TF 4C.197/2001 précité consid. 4b et les références citées). Afin de déterminer le montant des prestations de vieillesse que le demandeur obtiendraient sans l'accident, il convient de multiplier le revenu annuel brut hypothétique du demandeur à 65% (61'200 fr. x 65%, soit 39'780 fr.) par le facteur de capitalisation de 5.47, tel qu'il découle de la table de capitalisation M4x ("rente viagère différée dès l'âge de 65 ans - hommes") des tables et programmes de capitalisation de Stauffer/Schaetzle/Weber ( cf. Stauffer/Schaetzle/Weber, op. cit. ). Ces prestations de vieillesse s'élèveraient ainsi à 217'596 fr. 60. En l'occurrence, elles s'élèveront à 141'053 fr. 79 ([3'306 fr. brut x 12 mois] x 65%, multiplié par 5.47) plus 59'949 fr. ([913 fr. 30 x 12 mois], multiplié par 5.47), soit 201'002 fr. 79. Le demandeur subit donc une perte sur ses rentes vieillesse futures de 16'593 fr. 81. VII. a) Le demandeur conclut à l'allocation d'une indemnité pour le tort moral qu'il a subi à la suite de l'accident du 16 juin 2006. b)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consid. 7.3; ATF 132 II 117 consid. 2.2.2; ATF 123 III 306 consid. 9b, rés. in JdT 1998 I 27). Comme telles, les lésions corporelles ne suffisent pas pour admettre l'existence d'un tort moral. L'exigence légale des "circonstances particulières" signifie que ces lésions, comme la souffrance qui en résulte, doivent revêtir une certaine gravité (Werro, RC, op. cit., n. 140; Guyaz, L'indemnisation du tort moral en cas d'accident, in SJ 2003 II 1 ss,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141).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 1271).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(TF 4C.263/2006 du 17 janvier 2007 consid. 7.3;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TF 4A_423/2008 du 12 novembre 2008 consid. 2.1). Dans un deuxième temps, le montant objectif ainsi fixé sera modulé à l'aune des circonstances concrètes du cas d'espèce (ATF 132 II 117 consid. 2.2.3; TF 4A_423/2008 du 12 novembre 2008 consid. 2.1; TF 4C.263/2006 du 17 janvier 2006 consid. 7.3; TF 4C.55/ 2006 du 12 mai 2006 consid. 5.2; TF 4C.435/2005 du 5 mai 2006 consid. 4.2.1).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consid. 2.5; ATF 123 III 306 consid. 9b, rés. in JdT 1998 I 27; ATF 121 II 369 consid. 6c, JdT 1997 IV 82; ATF 108 II 422 consid. 5, JdT 1983 I 104; TF 4A_373/2007 du 8 janvier 2008 consid. 3.3; TF 4C.103/2002 du 16 juillet 2002 consid. 5). En cas de lésions graves ayant laissé des séquelles physiques ou psychiques importantes, des montants compris entre 20'000 fr. et 50'000 fr. ont été alloués (ATF 116 II 733; ATF 116 II 295, JdT 1991 I 38; ATF 112 II 118, rés. in JdT 1986 I 506; ATF 112 II 138, rés. in JdT 1986 I 596; ATF 108 II 59, rés. in JdT 1982 I 285). Des lésions de moyenne gravité entraînant une invalidité partielle et une incapacité de gain temporaire ont pu être indemnisées par des montants compris entre 1'000 fr. et 20'000 francs (ATF 123 III 204, JdT 1999 I 9; ATF 110 II 163, rés. in JdT 1985 I 26; ATF 102 II 232, rés. in JdT 1977 I 122; ATF 102 II 18, rés. in JdT 1976 I 319; ATF 82 II 25, JdT 1956 I 324). c) En l'espèce, les lésions subies par le demandeur à la suite de l'accident qui a eu lieu il y a treize ans ont pour conséquence qu'il n'est plus en mesure d'exercer une activité de manœuvre dans le domaine de la construction. En revanche, il est apte à travailler dans le domaine dans lequel il a obtenu un CFC, à un taux de 60%. Concernant ses activités extraprofessionnelles, il n'est pas établi qu'il ait dû y renoncer depuis l'accident. Quant à la symptomatologie anxieuse et dépressive dont il affirme souffrir, il convient de tenir compte du fait que la légèreté des troubles psychiques n'induit aucune incapacité de travail et que, selon les experts judiciaires médicaux, ils étaient facilités par une structure psychique déjà présente avant l'accident, ce qui a rendu le demandeur plus vulnérable. Au vu des éléments qui précèdent, il apparaît équitable d'allouer au demandeur une indemnité pour tort moral d'un montant de 15'000 francs. Toutefois, une indemnité pour atteinte à l'intégrité lui a été allouée par la SUVA à hauteur de 48'060 francs. Le demandeur a admis le fait que cette indemnité est en concordance matérielle avec le tort moral et qu'elle doit être déduite du poste tort moral. Aucun montant ne lui est donc dû à ce titre. VIII. a) Le dommage comprend l'intérêt, dit compensatoire, du capital alloué à titre d'indemnité. L'intérêt est dû par celui qui est tenu de réparer le dommage causé à autrui, à partir du moment où ce préjudice est intervenu (Tercier, Le droit des obligations, 5e éd., n. 1117; art. 73 al. 1 er CO),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consid. 9.1, JdT 2005 I 488, SJ 2005 I 113 et les arrêts cités). Le taux d'intérêt forfaitaire retenu par la jurisprudence par application analogique de l'art. 73 CO est de 5% (ATF 131 III 12 consid. 9.4 et 9.5, JdT 2005 I 488). L'intérêt sur le dommage court, s'agissant de la capitalisation du dommage futur, dès la date de la capitalisation, laquelle coïncide généralement avec celle du jugement. b) En l'occurrence, les montants suivants doivent être alloués au demandeur: - 178'978 fr. 20, avec intérêt à 5% l'an dès le 1 er février 2013, échéance moyenne, au titre de perte de gain passée, - 141'297 fr. 95, avec intérêt à 5% l'an dès le 1 er septembre 2019, au titre de perte de gain future, - 16'593 fr. 80, avec intérêt à 5% l'an dès le 1 er septembre 2019, au titre de perte sur ses rentes de vieillesse futures. Il convient de déduire du montant total dû en capital par la défenderesse les montants déjà versés par cette dernière à hauteur de 24'305 francs. IX .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gain de cause sur le principe d'une indemnisation, mais succombant sur un peu plus de la moitié de ses conclusions chiffrées prises à l'encontre de la défenderesse, le demandeur a droit à des dépens réduits de moitié, soit à 37'491 fr. 65, savoir : a) 25'000 fr. à titre de participation à la moitié des honoraires de son conseil; b) 1'250 fr. pour les débours de celui‑ci; c) 11'241 fr. 65 en remboursement de la moitié de son coupon de justice.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