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62 vom 29. November 2018</w:t>
      </w:r>
    </w:p>
    <w:p>
      <w:r>
        <w:t>VD Tribunal cantonal, 2018-11-29, FR</w:t>
      </w:r>
    </w:p>
    <w:p>
      <w:r>
        <w:rPr>
          <w:b/>
        </w:rPr>
        <w:t xml:space="preserve">Quelle: </w:t>
      </w:r>
      <w:r>
        <w:t>https://mcp.opencaselaw.ch/entscheid/vd_findinfo_Jug___2019___62</w:t>
      </w:r>
    </w:p>
    <w:p>
      <w:r>
        <w:t>FR: VD_FINDINFO Jug / 2019 / 62 du 29 novembre 2018</w:t>
      </w:r>
    </w:p>
    <w:p>
      <w:r>
        <w:t>IT: VD_FINDINFO Jug / 2019 / 62 del 29 novembre 2018</w:t>
      </w:r>
    </w:p>
    <w:p>
      <w:pPr>
        <w:pStyle w:val="Heading2"/>
      </w:pPr>
      <w:r>
        <w:t>Regeste</w:t>
      </w:r>
    </w:p>
    <w:p>
      <w:r>
        <w:t>DÉLIT DE CHAUFFARD, VIOLATION DES RÈGLES DE LA CIRCULATION, FIXATION DE LA PEINE, RÉVOCATION DU SURSIS, CONSTATATION DES FAITS, EXCÈS DE VITESSE, SURSIS PARTIEL À L'EXÉCUTION DE LA PEINE, PEINE PRIVATIVE DE LIBERTÉ | 46 al. 1 CP, 47 CP, 49 al. 1 CP, 90 al. 1 LCR, 90 al. 2 LCR, 90 al. 3 LCR, 90 al. 4 LCR</w:t>
      </w:r>
    </w:p>
    <w:p>
      <w:pPr>
        <w:pStyle w:val="Heading2"/>
      </w:pPr>
      <w:r>
        <w:t>Erwägungen</w:t>
      </w:r>
    </w:p>
    <w:p>
      <w:r>
        <w:rPr>
          <w:b/>
        </w:rPr>
        <w:t>E. 4</w:t>
      </w:r>
    </w:p>
    <w:p>
      <w:r>
        <w:t>al. 1 let. d LArm.</w:t>
      </w:r>
    </w:p>
    <w:p>
      <w:r>
        <w:rPr>
          <w:b/>
        </w:rPr>
        <w:t>E. 5</w:t>
      </w:r>
    </w:p>
    <w:p>
      <w:r>
        <w:t>La peine</w:t>
      </w:r>
    </w:p>
    <w:p>
      <w:r>
        <w:rPr>
          <w:b/>
        </w:rPr>
        <w:t>E. 5.1</w:t>
      </w:r>
    </w:p>
    <w:p>
      <w:r>
        <w:t>X.________ a conclu au prononcé d’une peine pécuniaire entièrement assortie d’un sursis. De son côté, le Ministère public estime que la peine prononcée en première instance, soit dix-huit mois, dont six mois fermes, serait adéquate.</w:t>
      </w:r>
    </w:p>
    <w:p>
      <w:r>
        <w:rPr>
          <w:b/>
        </w:rPr>
        <w:t>E. 5.2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6B_483/2016 du 30 avril 2018 consid. 2.2 destiné à la publication; ATF 142 IV 265 IV 2.3.2, traduit au JdT 2017 IV 129; ATF 138 IV 120 consid. 5.2 p. 122, traduit au JdT 2013 IV 43). Que les dispositions pénales applicables prévoient abstraitement des peines de même genre ne suffit pas (TF 6B_483/2016 précité consid. 2.2 destiné à la publication; ATF 138 IV 120 consid. 5.2 p. 123; plus récemment TF 6B_1394/2017 du 2 août 2018 consid. 8.3.1). Si les sanctions envisagées concrètement ne sont pas du même genre, elles doivent être prononcées cumulativement (ATF 142 IV 265 consid. 2.3.2; 138 IV 120 consid. 5.2 p. 122; ATF 137 IV 57 consid. 4.3.1 p. 58). La peine privative de liberté et la peine pécuniaire ne sont pas des sanctions du même genre (TF 6B_483/2016 précité consid. 2.2 destiné à la publication;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Le choix de la sanction doit être opéré en tenant compte au premier chef de l'adéquation de la peine, de ses effets sur l'auteur et sur sa situation sociale ainsi que de son efficacité du point de vue de la prévention (ATF 137 II 297 consid. 2.3.4 p. 301; ATF 134 IV 97 consid. 4.2 p. 100). La faute de l'auteur n'est en revanche pas déterminante (ATF 137 II 297 consid. 2.3.4 p. 301; plus récemment TF 6B_420/2017 du 15 novembre 2017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 citées). La jurisprudence avait admis que le juge puisse s'écarter de cette méthode concrète dans plusieurs configurations (cf. TF 6B_483/2016 précité consid. 2.4 destiné à la publication),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(TF 6B_483/2016 précité consid. 2.4 destiné à la publication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(TF 6B_559/2018  du 26 octobre 2018 et les réf. citées ; TF 6B_483/2016 précité consid. 3.5.4 destiné à la publication).</w:t>
      </w:r>
    </w:p>
    <w:p>
      <w:r>
        <w:rPr>
          <w:b/>
        </w:rPr>
        <w:t>E. 5.3</w:t>
      </w:r>
    </w:p>
    <w:p>
      <w:r>
        <w:t>Aux termes de l'art. 42 al. 1 CP, le juge suspend en règle générale l'exécution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dispose d'un large pouvoir d'appréciation en la matière (TF 6B_392/2016 du 10 novembre 2016 ; ATF 134 IV 1 consid. 5.2. p. 9).</w:t>
      </w:r>
    </w:p>
    <w:p>
      <w:r>
        <w:rPr>
          <w:b/>
        </w:rPr>
        <w:t>E. 5.4</w:t>
      </w:r>
    </w:p>
    <w:p>
      <w:r>
        <w:t>En l’espèce, X.________ doit être reconnu coupable de violation grave des règles de la circulation routière, d’entrave aux mesures de constatation de l’incapacité de conduire et d’infraction à la Loi fédérale sur les armes, les accessoires d’armes et les munitions. Au regard de la jurisprudence évoquée ci-dessus, il convient dans un premier temps de déterminer la peine pour l’infraction la plus grave, soit la violation grave des règles de la circulation routière. A cet égard, la culpabilité de X.________ est lourde. Il a en effet fait fi de la sécurité des autres utilisateurs de la route en circulant à grande vitesse pour le motif futile d’échapper à un banal contrôle de police. Un tel comportement dénote un manque total de scrupules. A sa charge, on retiendra encore que l’intéressé ne pouvait ignorer qu’il était sous le coup d’une condamnation avec sursis pour une violation des règles de la circulation routière et qu’il se trouvait en situation de récidive spéciale en matière d’excès de vitesse. Les regrets exprimés à l’audience de première instance et en appel sont contrebalancés par les multiples mensonges et l’absence de collaboration dont il a fait preuve pendant toute la première partie de l’enquête, son « amnésie » persistant au stade de l’appel au sujet de la vitesse à laquelle il aurait circulé. On ne discerne guère d’éléments à décharge, hormis le fait qu’il est bien intégré professionnellement. Compte tenu de tous ces éléments, le comportement irresponsable de X.________  ayant conduit à sa condamnation pour violation grave des règles de la circulation routière doit être sanctionné par une peine privative de liberté dont la quotité doit être arrêtée à neuf mois. Cette infraction étant en concours avec celles d’entrave aux mesures de constatation de l’incapacité de conduire et d’infraction à la Loi fédérale sur les armes, les accessoires d’armes et les munitions, la peine d’ensemble doit être arrêtée à 12 mois de privation de liberté. S’agissant de l’octroi d’un sursis – complet ou partiel – la question est délicate. X.________ a en effet agi alors qu’il se trouvait encore dans le délai d’épreuve d’une précédente condamnation ; il a délibérément mis en danger la sécurité publique et celle de ses poursuivants dans l’unique objectif d’éviter un banal contrôle de police qui aurait tout au plus pu l’amener à devoir s’expliquer sur la présence – certes illégale – d’une matraque télescopique dans l’habitacle de son véhicule. Son comportement démontre une prise de conscience très relative. Il existe par conséquent de sérieux doutes sur les perspectives d'amendement de l’appelant. Néanmoins, compte tenu de son intégration professionnelle et des quelques remords formulés à l’audience, la Cour de céans considère, à l'issue de l'appréciation de l'ensemble des circonstances, qu’il ne se justifie pas de poser un pronostic résolument défavorable. Sous l'angle de la prévention spéciale, on peut en effet escompter que l’exécution d’une première peine privative de liberté pourra influencer positivement la capacité d’amendement de ce jeune condamné et exercer une influence positive sur son comportement futur. Tout bien considéré, X.________ devra être mis au bénéfice d’un sursis partiel portant sur la moitié de la peine privative de liberté prononcée. C’est ainsi une peine privative de liberté de 12 mois, dont 6 mois avec sursis, qui doit être prononcée, étant précisé que, s’agissant de l’exécution de la peine ferme, des aménagements pourraient être envisagés pour permettre à X.________ de conserver son emploi. Afin de limiter au maximum le risque de récidive, le délai d’épreuve doit être arrêté au maximum légal de cinq ans.</w:t>
      </w:r>
    </w:p>
    <w:p>
      <w:r>
        <w:rPr>
          <w:b/>
        </w:rPr>
        <w:t>E. 6</w:t>
      </w:r>
    </w:p>
    <w:p>
      <w:r>
        <w:t>Le sursis antérieur</w:t>
      </w:r>
    </w:p>
    <w:p>
      <w:r>
        <w:rPr>
          <w:b/>
        </w:rPr>
        <w:t>E. 6.1</w:t>
      </w:r>
    </w:p>
    <w:p>
      <w:r>
        <w:t>X.________ a conclu à ce qu’il soit renoncé à la révocation du sursis qui lui a été octroyé le 27 février 2015 par le Ministère public du canton du Valais, office régional du Bas-Valais</w:t>
      </w:r>
    </w:p>
    <w:p>
      <w:r>
        <w:rPr>
          <w:b/>
        </w:rPr>
        <w:t>E. 6.2</w:t>
      </w:r>
    </w:p>
    <w:p>
      <w:r>
        <w:t>Selon l'art. 46 al. 1 CP, si durant le délai d'épreuve, le condamné commet un crime ou un délit et qu'il y a dès lors lieu de prévoir qu'il commettra de nouvelles infractions, le juge révoque le sursis ou le sursis partiel (al. 1, 1ère phrase). S'il n'y a pas lieu de prévoir que le condamné commettra de nouvelles infractions, le juge renonce à ordonner la révocation (al. 2, 1ère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TF 6B105/2016 du 11 octobre 2016 consid. 1.1; TF 6B1165/2013 du 1er mai 2014 consid. 2.2).</w:t>
      </w:r>
    </w:p>
    <w:p>
      <w:r>
        <w:rPr>
          <w:b/>
        </w:rPr>
        <w:t>E. 6.3</w:t>
      </w:r>
    </w:p>
    <w:p>
      <w:r>
        <w:t>En l’espèce, il apparaît que l’exécution de la partie ferme de la peine prononcée dans le cadre de la présente procédure constitue un élément nouveau susceptible d’asseoir un pronostic favorable, en raison plus particulièrement de l'effet de choc et d'avertissement que la détention est de nature à susciter chez l’appelant. Il sera par conséquent renoncé à révoquer le sursis à la peine pécuniaire de 110 jours-amende à 80 fr. le jour qui lui a été accordé le 27 février 2015.</w:t>
      </w:r>
    </w:p>
    <w:p>
      <w:r>
        <w:rPr>
          <w:b/>
        </w:rPr>
        <w:t>E. 7</w:t>
      </w:r>
    </w:p>
    <w:p>
      <w:r>
        <w:t>En définitive, l’appel de X.________ doit être partiellement admis, alors que l’appel du Ministère public doit être rejeté. Le jugement du 29 novembre 2018 sera réformé dans le sens des considérants qui précèdent. Le défenseur d’office de X.________ a déposé en audience une liste d’opérations dont il n’y a pas lieu de s’écarter, si ce n’est pour y soustraire une heure au temps d’activité annoncé s’agissant de l’audience d’appel estimé à deux heures. C’est ainsi une indemnité d’un montant total de 1'991 fr. 40, qui doit être allouée à Me Anne-Rebecca Bula pour la procédure d’appel. Vu l’issue de la cause, les frais de la procédure d'appel, par 4’371 fr. 40, constitués de l'émolument de jugement, par 2’380 fr. (art. 21 al. 1 et 2 TFIP [Tarif des frais de procédure et indemnités en matière pénale du 28 septembre 2010 ; BLV 312.03.1]) ainsi que de l’indemnité allouée au défenseur d’office, seront mis par un quart, soit par 1’092 fr. 85, à la charge de X.________, qui succombe dès lors que son appel a été partiellement rejeté, mais obtient gain de cause dès lors qu’il a conclu au rejet de l’appel du Ministère public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