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48 vom 20. September 2018</w:t>
      </w:r>
    </w:p>
    <w:p>
      <w:r>
        <w:t>VD Tribunal cantonal, 2018-09-20, FR</w:t>
      </w:r>
    </w:p>
    <w:p>
      <w:r>
        <w:rPr>
          <w:b/>
        </w:rPr>
        <w:t xml:space="preserve">Quelle: </w:t>
      </w:r>
      <w:r>
        <w:t>https://mcp.opencaselaw.ch/entscheid/vd_findinfo_Jug___2019___48</w:t>
      </w:r>
    </w:p>
    <w:p>
      <w:r>
        <w:t>FR: VD_FINDINFO Jug / 2019 / 48 du 20 septembre 2018</w:t>
      </w:r>
    </w:p>
    <w:p>
      <w:r>
        <w:t>IT: VD_FINDINFO Jug / 2019 / 48 del 20 settembre 2018</w:t>
      </w:r>
    </w:p>
    <w:p>
      <w:pPr>
        <w:pStyle w:val="Heading2"/>
      </w:pPr>
      <w:r>
        <w:t>Regeste</w:t>
      </w:r>
    </w:p>
    <w:p>
      <w:r>
        <w:t>LÉSION CORPORELLE SIMPLE, VOIES DE FAIT, MISE EN DANGER DE LA VIE D'AUTRUI{ART. 129 CP}, DIRECTIVE{INJONCTION} | 123 ch. 1 CP, 123 ch. 2 al. 5 CP, 126 al. 1 CP, 126 al. 2 CP, 129 CP, 94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M.________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qui ne conteste plus les faits qui lui sont reprochés, soutient que l'infraction de mise en danger de la vie d'autrui ne serait pas réalisée. Il reproche au premier juge d'avoir retenu cette infraction uniquement sur la base des déclarations de la plaignante, nonobstant l'absence d'élément matériel attestant d'une mise en danger de mort.</w:t>
      </w:r>
    </w:p>
    <w:p>
      <w:r>
        <w:rPr>
          <w:b/>
        </w:rPr>
        <w:t>E. 3.1</w:t>
      </w:r>
    </w:p>
    <w:p>
      <w:r>
        <w:t>Aux termes de l'art. 129 CP, celui qui, sans scrupules, aura mis autrui en danger de mort imminent sera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TF 6B_876/2015 du 2 mai 2016 consid, 2.1 non publié aux ATF 142 IV 245). Il doit en outre s'agir d'un danger de mort, et non pas seulement d'un danger pour la santé ou l'intégrité corporelle (ATF 133 IV 1 consid. 5.1; TF 66_876/2015 précité consid. 2.1).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TF 6B_876/2015 précité consid. 2.1). S'agissant plus précisément de la strangulation, la jurisprudence a admis qu'il pouvait y avoir danger de mort lorsque l'auteur étranglait sa victime avec une certaine intensité. Ainsi, dans l'arrêt publié aux ATF 124 IV 53, le Tribunal fédéral a retenu que l'auteur qui avait étranglé sa victime, sans pour autant lui causer de sérieuses lésions et sans qu'elle ait perdu connaissance, pouvait se rendre coupable d'une mise en danger de la vie d'autrui. Dans cet arrêt, selon les médecins légistes, la violence décrite pouvait entraîner, bien que rarement, une mort par réflexe cardio-inhibiteur, ou par asphyxie, si elle était suffisamment forte et longue (cf. TF 6B_265/2017 du 9 février 2018 consid. 2.3.3.2; TF 6B_307/2013 du 13 juin 2013 consid. 4.1; TF 6B_87/2013 du 13 mai 2013 consid. 3; TF 6B_996/2009 du 15 mars 2010 consid. 3.3).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Il faut en quelque sorte qu'elle atteigne un degré qualifié de réprobation (TF 6S.192/2004 du 26 août 2004 consid. 2.4). Du point de vue subjectif, il faut que l'auteur ait agi intentionnellement (ATF 133 IV 1 consid. 5.1)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(ATF 133 IV 1 consid. 5.1).</w:t>
      </w:r>
    </w:p>
    <w:p>
      <w:r>
        <w:rPr>
          <w:b/>
        </w:rPr>
        <w:t>E. 3.2</w:t>
      </w:r>
    </w:p>
    <w:p>
      <w:r>
        <w:t>a) En l'espèce, entendue par le Ministère public le 14 décembre 2017, la plaignante a expliqué que lors de l'épisode du 18 septembre 2017 (cf. chiffre 2c supra), l'appelant l'avait étranglée à trois reprises. La première fois, il avait pris sa tête sous son bras; elle avait eu le souffle coupé, avait paniqué et avait dû le mordre pour se défaire de la prise. La seconde fois, l'appelant avait mis sa tête entre ses cuisses et il avait serré; elle avait eu de la peine à respirer et avait dû le pincer, puis le mordre pour se libérer. Enfin, la troisième fois, décrite comme l'étranglement le plus violent, l'appelant lui avait serré le cou avec ses deux mains; elle avait eu le souffle coupé, elle s'était débattue et avait planté ses ongles pour qu'il la lâche (PV aud. 1, p. 2). Devant le premier juge, elle a déclaré qu'elle avait vraiment cru qu'elle allait mourir, ajoutant qu'elle avait eu peur pour sa vie à chaque fois que le prévenu l'avait étranglée (cf. jgt., p. 6). La plaignante a décrit les faits de la même manière devant les médecins qui l'ont examinée à l'Unité de médecine des violences du CHUV le 20 septembre 2017 (P. 9/1), puis devant le Dr [...] qu'elle a consulté les 30 octobre et 24 novembre 2017, le praticien indiquant expressément que, sur l'anamnèse de sa patiente, la vie de celle-ci avait été mise en danger à la suite de ce que son compagnon lui avait fait subir (P. 12 et 14). Par ailleurs, [...], arrivée sur les lieux peu après, a déclaré qu'elle avait trouvé la plaignante enfermée à clef dans la chambre du couple avec sa fille dans les bras, clairement en état de choc. Il ressort du constat médical établi le 20 septembre 2017 par l'Unité de médecine des violences du CHUV que la plaignante a eu des douleurs à la palpation de la gorge avec une gêne à la déglutition et une perte d'appétit, qu'elle a souffert d'une tuméfaction de 2,5 cm dans la région temporale gauche et de nombreuses ecchymoses aux bras droit et gauche, à l'intérieur de la cuisse et sur la fesse droite ainsi que sur la partie antérieure de la jambe gauche, le médecin relevant que toutes ces lésions étaient en rapport avec les faits relatés par la plaignante (P. 9/1). Celle-ci a déclaré avoir eu des douleurs au niveau du cou pendant dix jours (PV aud. 1, l. 97). Ainsi, contrairement à ce qu'affirme l'appelant, le fait que des marques n'apparaissent pas sur le cou de la plaignante n'est pas déterminant dès lors qu'il a serré son cou à trois reprises, respectivement avec son bras et avec ses jambes. Cela a provoqué des douleurs confirmées par un médecin, dont rien ne permet de mettre en doute le constat. Il en découle qu'en serrant le cou de sa compagne avec force à trois reprises consécutives, ce qui a eu pour effet qu'elle a eu chaque fois le souffle coupé, l'appelant lui a infligé un étranglement d'une intensité et d'une durée certaines. Au vu de la difficulté qu'elle a eu à respirer et du fait qu'elle a cru mourir, il y a lieu de retenir que sa vie a été mise en danger, conformément à la jurisprudence rappelée plus haut (cf. consid. 3.1 supra). b) S'agissant de l'épisode survenu entre avril et juin 2015, alors qu'elle était enceinte, la plaignante décrit une strangulation avec le bras, par derrière, lors de laquelle elle a eu un « voile noir » devant les yeux (PV aud. 1, l. 70-71). Ce dernier élément écarte tout doute quant à la violence et à la durée de l'étranglement qui a provoqué une interruption des flux vitaux assurant l'alimentation du cerveau en oxygène; il y a ainsi eu danger de mort imminent au sens de la jurisprudence rappelée ci-dessus (cf. consid. 3.1 supra). c) En outre, en s'en prenant à sa compagne enceinte en 2015, et à celle-ci en 2017 alors qu'elle lui avait demandé de s'occuper de leur enfant qui était dans une pièce non loin, le prévenu ne pouvait qu'avoir conscience de la violence de son comportement et du fait qu'il mettait la vie de sa compagne en danger, déclarant notamment au Ministère public qu'il était hors de contrôle (PV aud. 1, l. 174). Au vu de l'ensemble de ces circonstances, le premier juge était fondé à retenir que les éléments constitutifs de l'infraction de mise en danger de la vie d'autrui étaient réalisés s'agissant des faits reprochés au prévenu dans les cas 2 et 3 de l'acte d'accusation (cf. chiffre 2b et 2c supra). L'appel, mal fondé, doit être rejeté.</w:t>
      </w:r>
    </w:p>
    <w:p>
      <w:r>
        <w:rPr>
          <w:b/>
        </w:rPr>
        <w:t>E. 4</w:t>
      </w:r>
    </w:p>
    <w:p>
      <w:r>
        <w:t>L'appelant conteste sa condamnation à 270 jours-amende et conclut au prononcé d'une peine pécuniaire inférieure à 180 jours-amende avec sursis.</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w:t>
      </w:r>
    </w:p>
    <w:p>
      <w:r>
        <w:rPr>
          <w:b/>
        </w:rPr>
        <w:t>E. 4.2</w:t>
      </w:r>
    </w:p>
    <w:p>
      <w:r>
        <w:t>En l'espèce, c'est à raison que le premier juge a retenu que la culpabilité de l'appelant est importante et que les faits reprochés sont graves. A charge, le magistrat a relevé que l'appelant n'avait pas hésité à s'en prendre violemment à sa compagne, alors même que cette dernière était enceinte de leur enfant. Le prévenu ne semble pas avoir pris la mesure de son comportement et tente au contraire d'inverser les rôles, encore en appel, en déclarant être aussi la victime de la plaignante à qui il n'a pas présenté des excuses. Il a certes reconnu les faits en appel et déclaré que son ancienne compagne avait souffert, mais sa prise de conscience reste ainsi très partielle. Par ailleurs, alors même qu'il affirme être favorable à suivre une thérapie centrée sur la violence domestique, il n'a toujours rien entrepris pour la débuter. Compte tenu de l'ensemble des éléments à charge et de l'absence d'élément à décharge, la peine prononcée à l'encontre de l'appelant ne prête pas le flanc à la critique et doit être confirmée. L'octroi du sursis et la règle de conduite ne sont pas contestés en appel. Ils sont au demeurant adéquats.</w:t>
      </w:r>
    </w:p>
    <w:p>
      <w:r>
        <w:rPr>
          <w:b/>
        </w:rPr>
        <w:t>E. 5</w:t>
      </w:r>
    </w:p>
    <w:p>
      <w:r>
        <w:t>L'appelant conteste le principe même de l'allocation en faveur de l'intimée d'un montant au titre de tort moral. Il estime que l'intimée n'a subi aucun tort moral en raison d'une souffrance particulièrement grave qu'il lui aurait infligé. A titre subsidiaire, il conteste le montant du tort moral alloué à la plaignante, soit 8'000 fr., qu'il considère trop élevé et consent au versement d'un montant n'excédant pas 1'000 francs.</w:t>
      </w:r>
    </w:p>
    <w:p>
      <w:r>
        <w:rPr>
          <w:b/>
        </w:rPr>
        <w:t>E. 5.1</w:t>
      </w:r>
    </w:p>
    <w:p>
      <w:r>
        <w:t>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5.2</w:t>
      </w:r>
    </w:p>
    <w:p>
      <w:r>
        <w:t>En l'espèce, la comparaison que fait l'appelant avec le montant des indemnités allouées aux victimes LAVI n'est pas pertinente dès lors que les indemnités versées par l'Etat sont notoirement inférieures à celles dues par les auteurs d'infractions et ne répondent pas aux mêmes principes. La plaignante a expliqué qu'à chaque fois que l'appelant l'avait étranglée, elle avait cru qu'elle allait mourir ; l'état de stress post traumatique dont elle est atteinte est attesté par plusieurs certificats médicaux et par les déclarations du témoin [...]. Elle a en outre subi un choc à la tête en septembre 2017, provoquant un traumatisme crânien mineur et elle s'est depuis lors plainte notamment de troubles de la vue, de la concentration, d'hypersensibilité à la lumière. Si comme l'a retenu le premier juge, toutes les difficultés que la plaignante a connues ne sont pas en lien avec la violence conjugale dont elle a été victime, il n'en demeure pas moins que les voies de fait qualifiées et la mise en danger de sa vie sont de nature à engendrer une souffrance morale importante et qu'ils ont eu un impact important sur la vie de la plaignante. Il s'ensuit que le montant de 8'000 fr. doit être confirmé et l'appel rejeté sur ce point.</w:t>
      </w:r>
    </w:p>
    <w:p>
      <w:r>
        <w:rPr>
          <w:b/>
        </w:rPr>
        <w:t>E. 6</w:t>
      </w:r>
    </w:p>
    <w:p>
      <w:r>
        <w:t>En définitive, l'appel de M.________ est rejeté et le jugement entrepris intégralement confirmé. Le défenseur d'office de M.________ a produit une liste d'opérations dont il n'y a pas lieu de s'écarter, faisant état de 10 heures et 30 minutes (10.50 heures) de travail. C'est ainsi une indemnité de défenseur d'office de 2'173 fr. 40, soit des honoraires par 1890 fr., une vacation de 120 fr., des débours par 8 fr. et la TVA à 7.7% sur le tout, par 155 fr. 40 inclus, qui sera allouée à Me Véronique Fontana pour la procédure d'appel. On ajoutera une heure d'audience d'appel au mandat de 6 heures indiqué par Me Jérôme Campart, conseil d'office de L.________. C'est ainsi une indemnité de 1'492 fr. 30, soit des honoraires par 1'260 fr., une vacation de 120 fr., des débours par 5 fr. 60 et la TVA sur le tout par 106 fr. 70, qui sera allouée à Me Jérôme Campart pour la procédure d'appel. Vu l’issue de la cause, les frais de la procédure d'appel par 5'795 fr. 70, constitués en l’espèce de l’émolument de jugement, par 2'130 fr. (art. 21 al. 1 et 2 TFIP [Tarif des frais de procédure et indemnités en matière pénale du 28 septembre 2010; BLV 312.03.1]), et des indemnités allouées aux avocats d'office (art. 422 al. 1 et 2 let. a CPP), seront mis à la charge de M.________, qui succombe (art. 428 al. 1 CPP). M.________ ne sera tenu de rembourser à l’Etat le montant des indemnités en faveur des avocats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