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464 vom 23. Mai 2019</w:t>
      </w:r>
    </w:p>
    <w:p>
      <w:r>
        <w:t>VD Tribunal cantonal, 2019-05-23, FR</w:t>
      </w:r>
    </w:p>
    <w:p>
      <w:r>
        <w:rPr>
          <w:b/>
        </w:rPr>
        <w:t xml:space="preserve">Quelle: </w:t>
      </w:r>
      <w:r>
        <w:t>https://mcp.opencaselaw.ch/entscheid/vd_findinfo_Jug___2019___464</w:t>
      </w:r>
    </w:p>
    <w:p>
      <w:r>
        <w:t>FR: VD_FINDINFO Jug / 2019 / 464 du 23 mai 2019</w:t>
      </w:r>
    </w:p>
    <w:p>
      <w:r>
        <w:t>IT: VD_FINDINFO Jug / 2019 / 464 del 23 maggio 2019</w:t>
      </w:r>
    </w:p>
    <w:p>
      <w:pPr>
        <w:pStyle w:val="Heading2"/>
      </w:pPr>
      <w:r>
        <w:t>Regeste</w:t>
      </w:r>
    </w:p>
    <w:p>
      <w:r>
        <w:t>VIOLATION DE L'OBLIGATION D'ANNONCER, LOI FÉDÉRALE SUR LES PRESTATIONS COMPLÉMENTAIRES À L'AVS ET À L'AI | 42 al. 1 CP, 31 al. 1 let. d LPC</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l'appel de la M.________ est recevable. En outre, contrairement à ce qu'a plaidé l'intimé à l'audience d'appel, l'art. 382 CPP n'exige pas de la partie plaignante la prise effective de conclusions civiles dans la procédure pénale, de sorte que le fait que le prévenu a admis en première instance le montant réclamé n'a pas d'incidence sur la recevabilité de l'appel (cf. TF 6B_307/2019 du 13 novembre 2019 destiné à la publication, consid. 2.2).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3</w:t>
      </w:r>
    </w:p>
    <w:p>
      <w:r>
        <w:t>L'appelante reproche au premier juge – qui a libéré l'intimé du chef d'accusation d'escroquerie – de ne pas l'avoir condamné pour violation de l'art. 31 al. 1 LPC, dès lors qu'il a lui-même reconnu que le prévenu avait enfreint cette disposition. Selon l'appelante, le premier juge aurait dû ainsi faire application des art. 344 et 350 CPP et condamner l'intimé pour violation de l'art. 31 al. 1 LPC.</w:t>
      </w:r>
    </w:p>
    <w:p>
      <w:r>
        <w:rPr>
          <w:b/>
        </w:rPr>
        <w:t>E. 3.1.1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(TF 6B_503/2015 du 24 mai 2016 consid. 3.1 non reproduit aux ATF 142 IV 276; ATF 126 I 19 consid. 2a).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ch. 3 let. a CEDH (droit d'être informé de la nature et de la cause de l'accusation; TF 6B_503/2015 du 24 mai 2016 consid. 3.1 non reproduit aux ATF 142 IV 276). L'obligation faite par l'art. 344 CPP au tribunal d'informer les parties présentes qu'il entend s'écarter de l'appréciation juridique que porte le ministère public sur l'état de fait est indépendante du fait que la nouvelle appréciation juridique est de nature à entraîner une condamnation plus sévère (Message relatif à l'unification du droit de la procédure pénale du 21 décembre 2005, FF 2006 ad art. 346, p. 1269; Haurinenetz, in Basler Kommentar zur Schweizerische Strafprozessordnung - Jugendstrafprozessordnung, 2 e éd. 2014, n° 3 ad art. 344 CPP) ou moins sévère (Niklaus Schmid, Handbuch des schweizerischen Strafprozessrechts, 2 e éd. 2013, n° 1333 p. 598; Gut/Fingerhuth, in Kommentar zur Schweizerischen Strafprozessordnung, 2 e éd. 2014, n° 8 ad art. 344 CPP). L'art. 344 CPP peut être invoqué par la juridiction d'appel (TF 6B_878/2014 du 21 avril 2015 consid. 2.2), même après un arrêt de renvoi du Tribunal fédéral (TF 6B_1025/2014 du 9 février 2015 consid. 1.3 et références citées).</w:t>
      </w:r>
    </w:p>
    <w:p>
      <w:r>
        <w:rPr>
          <w:b/>
        </w:rPr>
        <w:t>E. 3.1.2</w:t>
      </w:r>
    </w:p>
    <w:p>
      <w:r>
        <w:t>L'art. 146 al. 1 CP dispose que celui qui, dans le dessin de se procurer ou de procurer à un tiers un enrichissement illégitime, aura astucieusement induit en erreur une personne par des affirmations fallacieuses ou par la dissimulation de faits vrais ou l'aura astucieusement confortée dans son erreur et l'aura astucieusement confortée dans son erreur et aura de la sorte déterminé la victime à des actes préjudiciables à ses intérêts pécuniaires ou à ceux d'un tiers sera puni d'une peine privative de liberté de cinq ans au plus ou d'une peine pécuniaire. L'art. 31 al. 1 let. d LPC prévoit qu'est puni, à moins qu'il ne s'agisse d'un crime ou d'un délit frappé d'une peine plus élevée par le code pénal, d'une peine pécuniaire n'excédant pas 180 jours-amende, celui qui manque à son obligation de communiquer (art. 31 al. 1 LPGA [Loi fédérale sur la partie générale du droit des assurances sociales ; RS 830.1]). L'art. 31 LPGA règle la question de l'avis obligatoire en cas de modification des circonstances une fois que des prestations sociales ont été allouées. D'après cette disposition, l'ayant droit, ses proches ou les tiers auxquels une prestation est versée sont tenus de communiquer à l'assureur ou, selon le cas, à l'organe compétent toute modification importante des circonstances déterminantes pour l'octroi d'une prestation. L'art. 24 OPC-AVS/AI (ordonnance sur les prestations complémentaires à l’assurance-vieillesse, survivants et invalidité du 15 janvier 1971; RS 831.301)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L'infraction est intentionnelle, le dol éventuel étant suffisant (ATF 140 IV 206 consid. 6.5).</w:t>
      </w:r>
    </w:p>
    <w:p>
      <w:r>
        <w:rPr>
          <w:b/>
        </w:rPr>
        <w:t>E. 3.2.1</w:t>
      </w:r>
    </w:p>
    <w:p>
      <w:r>
        <w:t>En l'espèce, la plainte déposée par l'appelante le 4 septembre 2018 mentionne expressément l'art. 31 al. 1 LPC et toute autre infraction qui pourrait résulter des investigations. Le Ministère public a rendu une ordonnance pénale, devenue acte d'accusation ensuite d'opposition, condamnant A.S.________ pour escroquerie. Dans la mesure où le Ministère public a rendu une ordonnance pénale, il n'avait pas à envisager des infractions alternatives. Il n'est par ailleurs pas intervenu en première instance. On ne saurait non plus attendre de la partie plaignante qui a assisté à l'audience de préciser qu'elle considère que l'infraction de l'art. 31 al. LPC serait réalisée, si le premier juge ne retenait pas l'escroquerie. Le premier juge a clos les débats et, avec l'accord du prévenu et de la plaignante, il a adressé le dispositif aux parties. On ignore ainsi quand le premier juge a envisagé l'application de la LPC, soit si c'était avant ou après la clôture des débats. Point n'est cependant besoin de trancher la question de savoir si le premier juge avait l'obligation de rouvrir l'instruction et s'il a violé l'art. 8 CPP qui réglemente la renonciation à toute poursuite pénale, ou s'il pouvait renoncer à toute poursuite en ce qui concerne l'infraction visée à l'art. 31 al. 1 LPC tout en indiquant qu'elle était réalisée. En effet, compte tenu de son plein pouvoir d'examen et du fait que l'art. 344 CPP est applicable en appel, il appartient à la Cour d'appel pénale de déterminer si l'art. 31 LPC a été violé.</w:t>
      </w:r>
    </w:p>
    <w:p>
      <w:r>
        <w:rPr>
          <w:b/>
        </w:rPr>
        <w:t>E. 3.2.2</w:t>
      </w:r>
    </w:p>
    <w:p>
      <w:r>
        <w:t>L'acte d'accusation retient qu'alors que le couple était au bénéfice de prestations complémentaires AVS/AI octroyées par la M.________, A.S.________ a sciemment dissimulé les revenus perçus de ses activités lucratives et ceux de sa conjointe en indiquant faussement sur les formulaires « Révision périodique des dossiers d'ayants droits aux prestations complémentaires AVS/AI (PC) » pour les mois correspondants qu'ils étaient sans emploi, déterminant de ce fait ladite Caisse à leur verser des indemnités chômage indues à hauteur de 57'685 fr.». Comme le premier juge, il y a lieu de constater que l'acte d'accusation comporte des erreurs. Tout d'abord les montants indument versés ne sont pas des indemnités chômage, mais des prestations complémentaires AVS/AI. En outre, l'intimé n'a rempli qu'un seul formulaire, le 17 juin 2013, alors qu'il était sans emploi (P. 5/4). Cependant, et contrairement à ce qu'il a plaidé à l'audience d'appel, ces erreurs n'ont eu aucune conséquence pour l'intimé. On rappelle que le principe d'accusation n'est pas une fin en soi mais qu'il a pour but de permettre au prévenu de préparer sa défense, ce qui est le cas en l'occurrence. En effet, l'acte d'accusation couvre la non-communication d'informations sur la situation personnelle des bénéficiaires qui a induit le versement de prestations indues à hauteur de 57'686 francs. Les faits décrits par l'acte d'accusation sont dès lors suffisants. Compte tenu de l'ensemble des circonstances, l'intimé savait ce qui lui était reproché, à savoir le fait de ne pas avoir annoncé le changement de sa situation familiale qui a été découverte après coup, à l'occasion d'une révision lors de laquelle il a certes collaboré. Par conséquent, il a pu se défendre correctement et le principe d'accusation a été respecté. Enfin, on ne peut suivre l'intimé lorsqu'il affirme être un manuel, et avoir seulement fait preuve de négligence. D'abord, il a été – avant son incarcération – propriétaire d'une entreprise de génie civil employant une vingtaine de personnes et d'un restaurant. Ses explications, selon lesquelles ce serait son ex-épouse qui s'occupait des questions administratives sont démenties par l'ordonnance de classement rendue le 20 février 2019 en faveur de cette dernière. L'intimé a perçu des prestations complémentaires depuis le 1 er juillet 2012 à la suite de sa sortie de détention. La décision du 1 er juillet 2012 mentionne l'obligation de communiquer sans retard toute modification de la situation familiale (P. 5/2). Il en est de même de la décision d'adaptation des rentes au 1 er janvier 2013 (P. 5/3). Le formulaire signé par l'intimé le 17 juin 2013 mentionne en gras cette obligation, juste au-dessus de l'emplacement où figure sa signature (P. 5/4). Les décisions d'octroi du 1 er juin 2013 (P. 5/5), la communication du 1 er janvier 2015 (P. 5/6) et la décision du 5 février 2016 (P. 5/7) rappellent cette obligation. Ainsi, on ne peut pas retenir que l'intimé ignorait l'obligation de communiquer qui lui a été rappelée à maintes reprises, mais surtout dans le formulaire qu'il a signé. Il a ainsi agi à tout le moins par dol éventuel. Les éléments de l'infraction sont ainsi réalisés et il faut constater qu'A.S.________ a enfreint l'art. 31 al. 1 let. d LPC. L'appel doit être admis sur ce point.</w:t>
      </w:r>
    </w:p>
    <w:p>
      <w:r>
        <w:rPr>
          <w:b/>
        </w:rPr>
        <w:t>E. 4</w:t>
      </w:r>
    </w:p>
    <w:p>
      <w:r>
        <w:t>A.S.________ étant reconnu coupable d'infraction à l'art. 31 al. 1 let d LPC, il convient de fixer la peine qui doit sanctionner son comportement.</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134 IV 17 consid. 2.1; ATF 129 IV 6 consid. 6.1; TF 6B_129/2015 du 11 avril 2016 consid. 1 et les références citées).</w:t>
      </w:r>
    </w:p>
    <w:p>
      <w:r>
        <w:rPr>
          <w:b/>
        </w:rPr>
        <w:t>E. 4.1.2</w:t>
      </w:r>
    </w:p>
    <w:p>
      <w:r>
        <w:t>Conformément à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w:t>
      </w:r>
    </w:p>
    <w:p>
      <w:r>
        <w:rPr>
          <w:b/>
        </w:rPr>
        <w:t>E. 4.2</w:t>
      </w:r>
    </w:p>
    <w:p>
      <w:r>
        <w:t>En l'espèce, la culpabilité d'A.S.________ n'est pas négligeable. Il a en effet caché sa situation personnelle à la M.________ durant plusieurs années, soit de novembre 2013 à août 2018. Seule la réévaluation de sa situation en juillet 2016 a mis fin à son comportement délictueux. A décharge, on retiendra qu'il a collaboré à l'enquête en transmettant les documents requis par l'appelante et qu'il a admis le principe de sa dette. Une peine pécuniaire de 30 jours est adéquate pour sanctionner le comportement de l'intimé. Compte tenu de sa situation personnelle, le montant du jour-amende peut être fixé à 30 francs. Enfin, et même s'il continue à minimiser sa faute, on constate que l'intimé a admis le principe de sa dette. En outre, sa précédente condamnation concerne des infractions d'un tout autre genre. Dans ces circonstances, un pronostic favorable au sens de l'art. 42 al. 1 CP peut être posé, de sorte que la peine doit être assortie du sursis pendant deux ans.</w:t>
      </w:r>
    </w:p>
    <w:p>
      <w:r>
        <w:rPr>
          <w:b/>
        </w:rPr>
        <w:t>E. 5</w:t>
      </w:r>
    </w:p>
    <w:p>
      <w:r>
        <w:t>Au vu de ce qui précède, l’appel doit être admis et le jugement entrepris réformé dans le sens des considérants qui précèdent. Vu l'issue de la cause, les frais d'appel, uniquement constitués de l’émolument de jugement, par 1'910 fr. (art. 21 al. 1 et 2 TFIP [Tarif des frais de procédure et indemnités en matière pénale du 28 septembre 2010; BLV 312.03.1]), seront mis à la charge d'A.S.________.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