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444 vom 9. Dezember 2019</w:t>
      </w:r>
    </w:p>
    <w:p>
      <w:r>
        <w:t>VD Tribunal cantonal, 2019-12-09, FR</w:t>
      </w:r>
    </w:p>
    <w:p>
      <w:r>
        <w:rPr>
          <w:b/>
        </w:rPr>
        <w:t xml:space="preserve">Quelle: </w:t>
      </w:r>
      <w:r>
        <w:t>https://mcp.opencaselaw.ch/entscheid/vd_findinfo_Jug___2019___444</w:t>
      </w:r>
    </w:p>
    <w:p>
      <w:r>
        <w:t>FR: VD_FINDINFO Jug / 2019 / 444 du 9 décembre 2019</w:t>
      </w:r>
    </w:p>
    <w:p>
      <w:r>
        <w:t>IT: VD_FINDINFO Jug / 2019 / 444 del 9 dicembre 2019</w:t>
      </w:r>
    </w:p>
    <w:p>
      <w:pPr>
        <w:pStyle w:val="Heading2"/>
      </w:pPr>
      <w:r>
        <w:t>Regeste</w:t>
      </w:r>
    </w:p>
    <w:p>
      <w:r>
        <w:t>DEMANDE ADRESSÉE À L'AUTORITÉ, DÉCISION D'IRRECEVABILITÉ, RÉVISION{DÉCISION} | 410 al. 1 let. a CPP (CH)</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Dans cette hypothèse, la demande de révision n’est soumise à aucun délai (art. 411 al. 2, 2 e phrase, CPP).</w:t>
      </w:r>
    </w:p>
    <w:p>
      <w:r>
        <w:rPr>
          <w:b/>
        </w:rPr>
        <w:t>E. 1.2</w:t>
      </w:r>
    </w:p>
    <w:p>
      <w:r>
        <w:t>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144 IV 121 consid. 1.8 p. 126 ; ATF 143 IV 122 consid. 3.5 p. 129) ou encore lorsque la demande de révision apparaît abusive (TF 6B_324/2019 du 24 avril 2019 consid. 3.1 ; TF 6B_882/2017 du 23 mars 2018 consid. 1.1).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(cf. ATF 130 IV 72 consid. 2.2 p. 74 et consid. 2.4 p. 76 ; TF 6B_662/2019 du 23 août 2019 consid. 1.1 ; TF 6B_324/2019 précité consid. 3.2 ; TF 6B_791/2014 du 7 mai 2015 consid. 2.3 non publié aux ATF 141 IV 298).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 TF 6B_662/2019 précité consid. 1.1 ; TF 6B_1261/2018 du 19 mars 2019 consid. 2.2 ; TF 6B_1099/2018 du 29 janvier 2019 consid. 1.3 ; TF 6B_791/2014 précité consid. 2.3 non publié aux ATF 141 IV 298). L'examen préalable de la demande de révision relève de la procédure écrite (art. 412 al. 1 CPP).</w:t>
      </w:r>
    </w:p>
    <w:p>
      <w:r>
        <w:rPr>
          <w:b/>
        </w:rPr>
        <w:t>E. 2</w:t>
      </w:r>
    </w:p>
    <w:p>
      <w:r>
        <w:t>La requérante fait valoir qu’elle n’avait pas connaissance de la décision de retrait du permis de conduire rendue le 5 décembre 2018 par le Service des automobiles et de la navigation lorsqu’elle circulait au volant de son véhicule automobile le 25 décembre 2018. Elle explique également avoir obtenu ladite décision le 4 janvier 2019 et ainsi avoir pris connaissance du retrait de son permis à cette date. Force est ainsi de constater que la requérante avait la possibilité de faire valoir cet élément en temps utile lors de la procédure d’opposition à l’ordonnance pénale rendue le 3 mai 2019, ce qu’elle n’a pas fait. Partant, le moyen de fait ou de preuve dont elle se prévaut n’est pas nouveau.</w:t>
      </w:r>
    </w:p>
    <w:p>
      <w:r>
        <w:rPr>
          <w:b/>
        </w:rPr>
        <w:t>E. 3</w:t>
      </w:r>
    </w:p>
    <w:p>
      <w:r>
        <w:t>Il résulte de ce qui précède que le motif de révision invoqué est manifestement mal fondé, de sorte que la demande de révision présentée doit être déclarée irrecevable, sans échange d’écritures (art. 412 al. 2 CPP). Les frais de la procédure de révision, par 440 fr. (art. 21 al. 1 et 22 TFIP [Tarif des frais de procédure et indemnités en matière pénale du 28 septembre 2010 ; BLV 312.03.1]), seront mis à la charge de la requérante,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