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434 vom 13. Mai 2019</w:t>
      </w:r>
    </w:p>
    <w:p>
      <w:r>
        <w:t>VD Tribunal cantonal, 2019-05-13, FR</w:t>
      </w:r>
    </w:p>
    <w:p>
      <w:r>
        <w:rPr>
          <w:b/>
        </w:rPr>
        <w:t xml:space="preserve">Quelle: </w:t>
      </w:r>
      <w:r>
        <w:t>https://mcp.opencaselaw.ch/entscheid/vd_findinfo_Jug___2019___434</w:t>
      </w:r>
    </w:p>
    <w:p>
      <w:r>
        <w:t>FR: VD_FINDINFO Jug / 2019 / 434 du 13 mai 2019</w:t>
      </w:r>
    </w:p>
    <w:p>
      <w:r>
        <w:t>IT: VD_FINDINFO Jug / 2019 / 434 del 13 maggio 2019</w:t>
      </w:r>
    </w:p>
    <w:p>
      <w:pPr>
        <w:pStyle w:val="Heading2"/>
      </w:pPr>
      <w:r>
        <w:t>Regeste</w:t>
      </w:r>
    </w:p>
    <w:p>
      <w:r>
        <w:t>ESCROQUERIE, FAUX MATÉRIEL DANS LES TITRES, PEINE PÉCUNIAIRE, CONTRAT D'ASSURANCE, SURSIS À L'EXÉCUTION DE LA PEINE, VÉRIFICATION D'ÉCRITURE, APPRÉCIATION DES PREUVES, ADMINISTRATION DES PREUVES, PRINCIPE DE L'ACCUSATION, TITRE{DOCUMENT}, ERREUR SUR LES FAITS{DROIT PÉNAL}, AMENDE | 110 al. 4 CP, 13 al. 1 CP, 146 CP, 251 ch. 1 CP, 389 CPP (CH), 9 CPP (CH)</w:t>
      </w:r>
    </w:p>
    <w:p>
      <w:pPr>
        <w:pStyle w:val="Heading2"/>
      </w:pPr>
      <w:r>
        <w:t>Erwägungen</w:t>
      </w:r>
    </w:p>
    <w:p>
      <w:r>
        <w:rPr>
          <w:b/>
        </w:rPr>
        <w:t>E. 1</w:t>
      </w:r>
    </w:p>
    <w:p>
      <w:r>
        <w:t>CPP), l'appel de V.________ est recevable.</w:t>
      </w:r>
    </w:p>
    <w:p>
      <w:r>
        <w:rPr>
          <w:b/>
        </w:rPr>
        <w:t>E. 1.2</w:t>
      </w:r>
    </w:p>
    <w:p>
      <w:r>
        <w:t>et réf. cit.), à savoir d’une demie. La liste d’opérations produite en première instance ne prête pas le flanc à la critique (P. 29), de sorte que la somme de 1'814 fr. 70 (3'629 fr. 40/2) doit être allouée à la prévenue à titre d’indemnité pour les dépenses occasionnées par la procédure de première instance, à la charge de l’Etat. Cette indemnité sera partiellement compensée avec la part des frais de première instance mise à la charge de la prévenue (art. 442 al. 4 CPP). Le jugement attaqué doit être réformé dans ce sens aux chiffres V et VI de son dispositif.</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w:t>
      </w:r>
    </w:p>
    <w:p>
      <w:r>
        <w:rPr>
          <w:b/>
        </w:rPr>
        <w:t>E. 2.2</w:t>
      </w:r>
    </w:p>
    <w:p>
      <w:r>
        <w:t>p. 65; 141 IV 132 consid. 3.4.1 p. 142 s. et les références citées). 4.2.2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objectifs de l’escroquerie sont une tromperie – qui peut être effectuée sous la forme d’affirmations fallacieuses, d’une dissimu­lation de faits vrais ou encore en confortant autrui dans son erreur – , une astuce, une induction en erreur, un acte de disposition, un dommage et un lien de causalité entre les éléments qui précèdent. Sur le plan subjectif, l’infraction requiert l’intention et un dessein d’enrichissement illégitime pour soi-même ou pour un tiers (Dupuis et al., Petit commentaire du Code pénal, 2 e éd., Bâle 2017, nn. 1 et 2, ad art. 146 CP). 4.3 L’ordonnance pénale rendue le 29 août 2017 par le ministère public, qui tient lieu d’acte d’accusation (art. 356 al. 1 CPP), est rédigée de la manière suivante : « A [...], entre le 26 novembre et le 31 décembre 2016, V.________, alors courtière en assurance, à falsifié des contrats d’assurance, en imitant les signatures de C.H.________, A.H.________, B.H.________ et D.H.________ et en remplissant elle-même les formulaires y relatifs, dans le but de toucher une commission. Elle a en outre également imité les signatures précitées dans les formulaires de résiliation des anciennes polices d’assurance. ». A la lecture de cet acte, on constate qu’il n’était nullement reproché à l’appelante d’avoir, sous quelque forme que ce soit, astucieusement trompé les plaignants ni même de leur avoir occasionné un dommage. Tel que rédigé, l’état de fait ne permettait donc pas d’envisager une condamnation pour escroquerie. En retenant malgré tout que l’appelante avait astucieusement trompé les plaignants en leur faisant croire qu’avec une franchise inchangée de 500 fr., leurs primes d’assurance-maladie de base et des complémentaires seraient moins chères auprès de l’assurance X.________ qu’auprès du G.________, et qu’elle leur avait ainsi occasionné un dommage temporaire (Jugement pp. 21-25), le premier juge s’est ainsi manifestement écarté de l’état de fait décrit dans l’acte d’accusation qui le liait et excluait toute condamnation pour escroquerie dans la mesure où il n’en décrivait pas tous les éléments constitutifs. En conséquence, l’appelante doit être acquittée du chef de prévention d’escroquerie et le jugement entrepris réformé dans ce sens. 5. 5.1 Invoquant une constatation incomplète ou erronée des faits, l’appelante conteste sa condamnation pour faux dans les titres. Elle soutient en substance que A.H.________ représentait l’ensemble des membres de la famille, qu’il lui avait donné son accord pour la conclusion des nouveaux contrats d’assurance auprès de la X.________ ainsi que pour la résiliation de leurs anciens contrats, qu’elle estimait dès lors être autorisée à compléter les propo­sitions d’assurance en y apposant elle-même la signature des intéressées, et à par ailleurs signer elle-même la lettre de résiliation des anciens contrats d’assurance conclus auprès du G.________. Elle en conclut que l’infraction de faux dans les titres n’est pas réalisée. 5.2 5.2.1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0.1019) et 14 ch. 2 Pacte ONU II (Pacte international relatif aux droits civils et politiques du 16 décembre 1966 ; RS 0.103.2), ainsi que son corollaire, le principe in dubio pro reo , concernent tant le fardeau de la preuve que l'appréciation des preuves au sens large (ATF 144 IV 345 consid. 2.2.3.1 ; ATF 127 I 38 consid. 2a ; TF 6B_1283/2018 du 14 février 2019 consid. 1.2).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144 IV 345 consid. 2.2.3.3 ; ATF 143 IV 500 consid. 1.1 ; ATF 138 V 74 consid. 7 ; TF 6B_1283/2018 du 14 février 2019 consid. 1.2). 5.2.2 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 La notion de titre est définie par l'art. 110 al. 4 CP, qui prévoit que sont notamment réputés titres tous écrits destinés et propres à prouver un fait ayant une portée juridique (Corboz, Les infractions en droit suisse, vol. II, 3 e éd. Berne 2010, nn. 15 et 24 ad art. 251 CP). La caractéristique essentielle du titre est qu'il doit être objectivement en mesure de prouver tout ou partie de ce qu'il exprime ; autrement dit, sa lecture doit fonder la conviction. L'aptitude à servir de preuve résulte de la loi ou des usages commerciaux (ATF 120 IV 361 consid. 2a). Le fait que le titre doive être en mesure de prouver doit en outre avoir une portée juridique ; le titre doit ainsi convaincre d'un fait dont dépend notamment la naissance, l'existence, la modification, l'extinction ou la modification d'un droit ; autrement dit, le fait doit être de nature à modifier la solution apportée à un problème juridique (Corboz, op. cit., nn. 20 et 27 ad art. 251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Le faussaire crée un titre qui trompe sur l'identité de celui dont il émane en réalité. En principe, il importe peu que le nom utilisé soit connu, appartien­ne à un tiers, soit fictif, que le faussaire se soit déjà fait connaître, avant la signature du titre, sous son faux nom auprès de la partie adverse ou qu'il le signe en présence de cette dernière (TF 6B_114/2013 du 1 er juillet 2013 consid. 5.1; ATF 132 IV 57 consid. 5.1.1; ATF 128 IV 265 consid. 1.1.1 et les réf. citées). Il est également sans importance de savoir si le contenu d'un tel titre est mensonger ou non (ATF 123 IV 17 consid. 2). 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(ATF 128 IV 265 consid. 1.1.2 et 1.1.3 et les réf. citées). Du point de vue subjectif, le faux dans les titres est une infraction intentionnelle. L'intention doit porter sur tous les éléments constitutifs de l'infraction, le dol éventuel étant suffisant. De surcroît, l'art. 251 CP exige un dessein spécial, à savoir que l'auteur agisse afin de porter atteinte aux intérêts pécuniaires ou aux droits d'autrui ou de se procurer ou de procurer à un tiers un avantage illicite (TF 6B_891/2018 du 31 octobre 2018 consid. 3.5.1). La notion d'avantage illicite est très large. Elle vise toute type d'avantage, d'ordre matériel ou immatériel, qui peut être destiné à l'auteur lui-même ou à un tiers (ATF 129 IV 53 consid. 3.5 p. 60; TF 6B_891/2018 du 31 octobre 2018 consid. 3.5.1 ; TF 6B_116/2017 du 9 juin 2017 consid. 2.2.3). Le caractère illicite de l'avantage peut découler du droit suisse ou du droit étranger (Trechsel/Erni, Schweizerisches Strafgesetzbuch, Praxiskommentar, Trechsel/Pieth [éd.], 3 e éd., 2018, n° 16 ad art. 251 CP) et ne requiert ni que l'auteur ait l'intention de porter préjudice, ni que l'obtention d'un avantage soit punissable au titre d'une autre infraction (ATF 129 IV 53 consid.</w:t>
      </w:r>
    </w:p>
    <w:p>
      <w:r>
        <w:rPr>
          <w:b/>
        </w:rPr>
        <w:t>E. 3.1</w:t>
      </w:r>
    </w:p>
    <w:p>
      <w:r>
        <w:t>L’appelante requiert la mise en œuvre d’une expertise graphologique. Elle soutient que cette mesure d’instruction serait nécessaire pour authentifier les signatures qui figurent sur les différents documents litigieux, savoir en particulier les annexes 3, 4, 5, 6 et 7 du procès-verbal d’audition-plainte (PV aud. 1) et les pièces 3, 5, 7, 8 et 9 du bordereau de pièces joint à la déclaration d’appel (P. 39/1). L’appelante sollicite en outre la production, par les parties plaignan­tes, des contrats d’assurance LAMAL et LCA conclus par les membres de la famille A.H.________ auprès de l’assurance G.________, afin de comparer le montant des primes, les avantages et les inconvénients entre les assurances G.________ et X.________, soit, en d’autres termes, de définir si la conclusion des nouveaux contrats avec X.________ était de nature à occasionner un dommage aux plaignants. Elle fait également valoir que la production de ces contrats permettrait d’examiner la signature des parties plaignantes, et plus particulièrement celle de B.H.________, qui l’aurait accusée à tort d’avoir imité sa signature sans que celle-ci n’en ai jamais eu connaissance auparavant.</w:t>
      </w:r>
    </w:p>
    <w:p>
      <w:r>
        <w:rPr>
          <w:b/>
        </w:rPr>
        <w:t>E. 3.2</w:t>
      </w:r>
    </w:p>
    <w:p>
      <w:r>
        <w:t>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w:t>
      </w:r>
    </w:p>
    <w:p>
      <w:r>
        <w:rPr>
          <w:b/>
        </w:rPr>
        <w:t>E. 3.3</w:t>
      </w:r>
    </w:p>
    <w:p>
      <w:r>
        <w:t>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pp. 270 ss; TF 6B_891/2018 du 31 octobre 2018 consid. 3.5.1 ; TF 6B_116/2017 précité consid. 2.2.3). 5.1.3 Selon l'art. 13 al. 1 CP,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(cf. ATF 129 IV 238 consid. 3.1, JdT 2005 IV 87 ; TF 6B_1012/2017 du 23 mars 2018 consid. 2.1 ; TF 6B_220/2015 du 10 février 2016 consid. 3.4.1). 5.2 En l’espèce, et comme déjà évoqué ci-dessus (cf. consid. 3.3), l’appelante a admis, lors de son audition par la Procureure, qu’après avoir quitté le domicile de la famille de A.H.________, elle avait constaté qu’il manquait des signatures sur les documents qu’elle dit leur avoir soumis et qu’elle avait dès lors elle-même apposé la signature de B.H.________, D.H.________ et C.H.________ sur les propositions d’assurance qui les concernaient (PV aud. 1, annexes 4, 5 et 6), ainsi que la signature de A.H.________ et B.H.________ sur la lettre de résiliation des anciennes polices d’assurance des quatre membres de la famille (PV aud. 3, ll. 44 ss et 69 ss). L’appelante soutient toutefois que A.H.________ agissait en qualité de représentant de tous les membres de sa famille et que dans la mesure où celui-ci lui avait donné son accord pour conclure de nouveaux contrats d’assurance et pour résilier les anciens contrats, elle pensait être au bénéfice des pouvoirs nécessaires pour procéder de la sorte. A cet égard, A.H.________ a effectivement admis que sa discussion avec l’appelante avait bien concerné les quatre membres de sa famille (Jugement p. 7). Il a également reconnu qu’il avait adhéré à la proposition qui lui était soumise par l’appelante dans la mesure où « les prix étaient moins chers » (Juge­ment p. 6). A.H.________ a finalement admis avoir lui-même signé une proposition d’assurances le concernant auprès de la X.________ (Jugement p. 5). On a par ailleurs vu (cf. consid. 3.3 ci-dessus) que A.H.________ avait finalement reconnu avoir signé les propositions d’assurance qui concernaient ses deux filles C.H.________ et D.H.________. Au vu de ce qui précède, on peut considérer que A.H.________ s’est proba­blement présenté à l’appelante comme le représentant de tous les membres de sa famille, qu’il a accepté que tous changent d’assurance maladie et qu’il a concrète­ment manifesté cette volonté en signant trois nouvelles propositions d’assurance. On ne peut en revanche pas en déduire que, ce faisant, A.H.________ aurait simultanément autorisé l’appelante à faire usage de sa signature ainsi que de celles de sa femme et de ses deux filles. Accepter de changer d’assurance et signer une partie des docu­ments nécessaires n’autorise naturelle­ment pas le courtier concerné à ensuite utiliser à sa guise les différentes signatures des intéressés. On ne voit par ailleurs pas ce qui pouvait honnêtement conduire l’appelante à imaginer le contraire. Il s’ensuit qu’en apposant elle-même la signature des plaignants B.H.________, C.H.________ et D.H.________ sur trois propositions d’assurances et la signature de A.H.________ et B.H.________ sur la lettre de résiliation destinée à l’ancien assureur de la famille A.H.________, soit sur des documents dont la qualité de titre au sens de l’art. 110 al. 4 CP n’est pas contestable – ni contestée d’ailleurs –, l’appelante a bien intentionnelle­ment créé un faux matériel. Lors de son audition devant la Procureure, l’appelante a en outre déclaré qu’elle avait agi de la sorte pour éviter que les documents soient incomplets et qu’ils ne soient pas acceptés (PV aud. 3, ll. 91 ss.). On comprend qu’elle voulait ainsi s’assurer que les nouvelles polices d’assurances de la famille A.H.________ puissent être conclues, condition sine qua non au versement de sa commission. L’appelante avait donc manifestement l’intention d’obtenir le versement d’une prétention, peut-être légitime, mais au moyen d'un titre faux. Il s’ensuit que le dessein spécial prévu à l’art. 251 ch. 1 CP est également réalisé. Au vu de ce qui précède, la condamnation de l’appelante pour faux dans les titres doit être confirmée.</w:t>
      </w:r>
    </w:p>
    <w:p>
      <w:r>
        <w:rPr>
          <w:b/>
        </w:rPr>
        <w:t>E. 6</w:t>
      </w:r>
    </w:p>
    <w:p>
      <w:r>
        <w:t>et l. 100 pour l’annexe 7). La mise en œuvre d’une expertise pour authentifier les signatures litigieuses n’est ainsi absolument pas nécessaire. La production des contrats d’assurance conclus auprès du G.________ afin de comparer les signatures apposées sur ceux-ci avec celles apposées sur les propositions d’assurance litigieuses est également inutile. La production des documents requis afin d’exclure l’existence d’un dommage pour les plaignants est également superflue dans la mesure où l’infraction d’escroquerie ne peut, comme on le verra ci-après (cf. consid. 4), de toute manière pas être retenue et que l’acte d’accusation ne reproche pas à l’appelante d’avoir imité la signature des plaignants dans le but de porter atteinte à leurs intérêts pécuniaires, mais uniquement dans le but de se procurer un avantage illicite sous la forme du versement d’une commission. Partant, les éléments au dossier étant suffisants pour permettre à la Cour de céans d’examiner les questions litigieuses et de statuer, les réquisitions de preuves de l’appelante doivent être rejetées, les conditions de l’art. 389 al. 3 CPP n’étant pas réalisées. 4. 4.1 L’appelante conclut à sa libération du chef de prévention d’escroquerie. Elle conteste en particulier avoir astucieusement trompé les plaignants en leur fai­sant croire que leurs primes auprès de l’assurance X.________ seraient moins élevées que celles auprès du G.________ avec une franchise inchangée. Elle conteste également l’existence d’un quelconque dommage pour les plaignants. Ces questions pourront rester ouvertes pour les motifs qui suivent. 4.2 4.2.1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141 IV 132 consid. 3.4.1 pp. 142 ss).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(TF 6B_834/2018 du 5 février 2019, consid. 1.1 ; TF 6B_1023/2017 du 25 avril 2018 consid. 1.1 non publié in ATF 144 IV 189; TF 6B_947/2015 du 29 juin 2017 consid. 7.1). Le principe de l'accusation découle également de l'art. 29 al. 2 Cst.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 RS 0.101] ;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6B_834/2018 du 5 février 2019, consid. 1.1 ; TF 6B_585/2018 du 3 août 2018 consid. 1.1; TF 6B_1297/2017 du 26 juillet 2018 consid. 4.1). L'acte d'accusation définit l'objet du procès et sert également à informer le prévenu (fonction de délimitation et d'information) (ATF 143 IV 63 consid.</w:t>
      </w:r>
    </w:p>
    <w:p>
      <w:r>
        <w:rPr>
          <w:b/>
        </w:rPr>
        <w:t>E. 6.1</w:t>
      </w:r>
    </w:p>
    <w:p>
      <w:r>
        <w:t>L’appelante, qui conclut à son acquittement, ne conteste pas la quotité de la peine en tant que telle. L’abandon du chef d’accusation d’escroquerie justifie toutefois que les peines de 80 jours-amende et de 300 fr. d’amende soient réexaminées d’office.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citées ; TF 6B_654/2018 du 5 septembre 2018 consid. 3.1).</w:t>
      </w:r>
    </w:p>
    <w:p>
      <w:r>
        <w:rPr>
          <w:b/>
        </w:rPr>
        <w:t>E. 6.2.2</w:t>
      </w:r>
    </w:p>
    <w:p>
      <w:r>
        <w:t>L’infraction de faux dans les titres est sanctionnée d’une peine privative de liberté de cinq ans au plus ou d’une peine pécuniaire (art. 251 CPP) L’art. 34 CP, dans sa formulation en vigueur avant le 1 er janvier 2018,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L’art. 34 CP a été modifié avec effet au 1 er janvier 2018 (cf. RO 2016 1249). Dans sa nouvelle teneur, l’art. 34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L’ancien art. 34 al. 2 CP n’étant pas plus favorable à la prévenue s’agissant du calcul du jour-amende, le nouveau droit doit être appliqué (cf. art. 2 al. 2 CP). Pour déterminer le montant du jour-amende, le juge se fonde en premier lieu sur le revenu de l’auteur au moment du jugement, en prenant en compte les revenus en tous genres et de n’importe quelle source. Le juge se référera aux critères élaborés en droit de la famille. Entrent ainsi en considération le salaire, le revenu de l’activité indépendante, les gratifications, les rentes, les pensions, l’aide sociale, la fortune immobilière, les titres et autres placements de capitaux ainsi que les prestations en nature, telles que le loyer directement payé par les autorités en charge de l’aide sociale. Le juge peut également se fonder sur le revenu moyen de l’auteur, lorsque les revenus sont irréguliers. Si l’auteur renonce volontairement à travailler ou à être mieux rémunéré, le juge prend en considération le revenu présumé que l’on est en droit d’attendre de l’auteur ou celui qu’il réalisait avant l’infraction (Dupuis et alii, Petit commentaire, Code pénal, 2 e éd., Bâle 2017, n. 18 ad art. 34 CP et les références citées).</w:t>
      </w:r>
    </w:p>
    <w:p>
      <w:r>
        <w:rPr>
          <w:b/>
        </w:rPr>
        <w:t>E. 6.2.3</w:t>
      </w:r>
    </w:p>
    <w:p>
      <w:r>
        <w:t>Selon l'art. 42 CP, le juge suspend en règle générale l’exécution d’une peine pécuniaire ou d’une peine privative de liberté de deux ans au plus lorsqu’une peine ferme ne paraît pas nécessaire pour détourner l’auteur d’autres crimes ou délits (al. 1). Le juge peut prononcer, en plus d’une peine avec sursis, une amende conformément à l’art. 106 CP (al. 4). Selon l'art. 44 al. 1 CP, si le juge suspend totalement ou partiellement l’exécution d’une peine, il impartit au condamné un délai d’épreuve de deux à cinq ans.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w:t>
      </w:r>
    </w:p>
    <w:p>
      <w:r>
        <w:rPr>
          <w:b/>
        </w:rPr>
        <w:t>E. 6.3</w:t>
      </w:r>
    </w:p>
    <w:p>
      <w:r>
        <w:t>En l’espèce, la seule infraction à réprimer est celle de faux dans les titres. La culpabilité de la prévenue est légère. Elle s’est certes arrogée sans vergogne un droit qui ne lui avait manifestement pas été octroyé par les plaignants dans le but de préserver ses intérêts financiers en touchant la commis­sion qui devait lui revenir pour la conclusion de nouveaux contrats d’assuran­ces. Toutefois, les plaignants n’ont en définitive subi aucun dommage financier. A décharge, on retiendra également que passé sa première audition, la prévenue s’est expliquée et n’a en particulier pas caché avoir elle-même signé une partie des documents litigieux. La prévenue n’ayant pas d’antécédent, une peine pécuniaire suffit. Au vu de ce qui précède, cette peine doit être arrêtée à 60 jours-amende. Le montant du jour-amende doit être fixé à 10 fr. pour tenir compte de la situation économique de la prévenue qui est sans activité lucrative et qui ne perçoit aucun revenu. Le pronostic n’est pas défavorable, de sorte que les conditions à l’octroi du sursis sont réalisées. Le délai d’épreuve assortissant le sursis sera arrêté au minimum légal de deux ans (art. 44 al. 1 CP). Le jugement sera modifié dans cette mesure au chiffre II de son dispositif. Si l’amende n’est pas contestée en tant que telle par l’appelante, elle n’apparaît néanmoins pas justifiée à titre de sanction immédiate, de sorte qu’elle doit être supprimée et le jugement entrepris modifié dans ce sens.</w:t>
      </w:r>
    </w:p>
    <w:p>
      <w:r>
        <w:rPr>
          <w:b/>
        </w:rPr>
        <w:t>E. 7.1</w:t>
      </w:r>
    </w:p>
    <w:p>
      <w:r>
        <w:t>L’appelante conclut à ce que les frais de première instance soient intégralement laissés à la charge de l’Etat. L’abandon d’un des deux chefs d’accusation pour lesquels la prévenue était renvoyée devant le Tribunal de police justifie que les frais de première instance ne soient mis à la charge de la prévenue qu’à raison de la moitié, soit 450 fr., et le solde laissé à la charge de l’Etat. Le jugement entrepris doit être modifié dans ce sens.</w:t>
      </w:r>
    </w:p>
    <w:p>
      <w:r>
        <w:rPr>
          <w:b/>
        </w:rPr>
        <w:t>E. 7.2</w:t>
      </w:r>
    </w:p>
    <w:p>
      <w:r>
        <w:t>Aux débats de première instance, la prévenue a conclu à l’allocation d’une indemnité au sens de l’art. 429 CPP d’un montant de 3'629 fr. 40. La prévenue, qui est libérée d’un des deux chefs d’accusation et qui a procédé en première instance avec l’assistance d’un défenseur de choix, a droit à une indemnité réduite à la mesure des frais (TF 6B_262/2015 du 29 janvier 2016 consid.</w:t>
      </w:r>
    </w:p>
    <w:p>
      <w:r>
        <w:rPr>
          <w:b/>
        </w:rPr>
        <w:t>E. 8</w:t>
      </w:r>
    </w:p>
    <w:p>
      <w:r>
        <w:t>En définitive, l’appel interjeté par V.________ doit être partiellement admis, le jugement entrepris devant être modifié aux chiffres I, II, III, V et VI dans le sens des considérants qui précèdent. Vu l’issue de la cause, les frais de la procédure d'appel, constitués en l’espèce de l’émolument du présent jugement, par 2'790 fr. (art. 21 al. 1 et 2 TFIP [Tarif des frais de procédure et indemnités en matière pénale du 28 septembre 2010 ; BLV 312.03.1]), seront mis par moitié, soit 1'395 fr., à la charge de V.________ et par moitié, soit 1'395 fr., à la charge de A.H.________, B.H.________, C.H.________ et D.H.________, solidairement entre eux. L’appelante, qui obtient partiellement gain de cause et qui a procédé avec l’assistance d’un mandataire professionnel, requiert l’octroi d’une indemnité au sens de l’art. 429 CPP d’un montant de 10'000 francs. Dans la mesure où son défenseur de choix assure sa défense depuis l’instruction, qu’il avait une parfaite connaissance du dossier et qu’il n’y a pas lieu de rémunérer à double l’activité de l’avocat et celle de son avocat-stagiaire, l’indemnité requise est excessive. Vu les difficultés de la cause, l’allocation d’une indemnité correspondant à 11 heures d’activité d’avocat breveté au tarif horaire de 300 fr. serait justifiée (art. 26a al. 3 et 4 TFIP) et seule une indemnité réduite à la mesure des frais, à savoir à la moitié, devrait être allouée à l’appelante. Quant aux plaignants, qui ont procédé par un conseil de choix dès la procédure d’appel et qui ont conclu au rejet de l’appel ainsi qu’à l’octroi d’une indemnité pour les dépenses obligatoires occasionnées par la procédure d’appel, ils obtiennent également partiellement gain de cause. Au vu des déterminations écrites produites par le conseil de choix qui est intervenu seulement en deuxième instance, la défense des intérêts des plaignants a également justifié une durée d’activité d’avocat d’environ</w:t>
      </w:r>
    </w:p>
    <w:p>
      <w:r>
        <w:rPr>
          <w:b/>
        </w:rPr>
        <w:t>E. 11</w:t>
      </w:r>
    </w:p>
    <w:p>
      <w:r>
        <w:t>heures, y compris le temps de l’audience d’appel, au tarif horaire de 300 francs. Tant l’appelante que les plaignants succombent partiellement dans leurs conclu­sions. L’activité de leurs conseils en procédure d’appel peut être jugée équivalente. Les dépens d’appel – au sens de l’art. 432 al. 2 CPP pour l’appe­lante et au sens de l’art. 433 al. 1 CPP pour les plaignants, par renvoi de l’art. 436 CPP – seront ainsi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