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411 vom 4. November 2019</w:t>
      </w:r>
    </w:p>
    <w:p>
      <w:r>
        <w:t>VD Tribunal cantonal, 2019-11-04, FR</w:t>
      </w:r>
    </w:p>
    <w:p>
      <w:r>
        <w:rPr>
          <w:b/>
        </w:rPr>
        <w:t xml:space="preserve">Quelle: </w:t>
      </w:r>
      <w:r>
        <w:t>https://mcp.opencaselaw.ch/entscheid/vd_findinfo_Jug___2019___411</w:t>
      </w:r>
    </w:p>
    <w:p>
      <w:r>
        <w:t>FR: VD_FINDINFO Jug / 2019 / 411 du 4 novembre 2019</w:t>
      </w:r>
    </w:p>
    <w:p>
      <w:r>
        <w:t>IT: VD_FINDINFO Jug / 2019 / 411 del 4 novembre 2019</w:t>
      </w:r>
    </w:p>
    <w:p>
      <w:pPr>
        <w:pStyle w:val="Heading2"/>
      </w:pPr>
      <w:r>
        <w:t>Regeste</w:t>
      </w:r>
    </w:p>
    <w:p>
      <w:r>
        <w:t>TRIBUNAL FÉDÉRAL, DÉCISION DE RENVOI, GESTION FAUTIVE, PARTIE CIVILE, FIXATION DE LA PEINE | 47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 CAPE 30 juillet 2014/234 consid. 1).</w:t>
      </w:r>
    </w:p>
    <w:p>
      <w:r>
        <w:rPr>
          <w:b/>
        </w:rPr>
        <w:t>E. 2</w:t>
      </w:r>
    </w:p>
    <w:p>
      <w:r>
        <w:t>O.________ n'a pas déposé de déterminations dans le délai fixé au 15 octobre 2019 malgré l'avis clair qui lui a été adressé le 25 septembre 2019. Il n'y a donc aucune raison de lui impartir un nouveau délai pour déposer des déterminations. Quant à la défense, en déposant des déterminations écrites, elle a implicitement admis que la suite de la procédure pouvait se dérouler en procédure écrite.</w:t>
      </w:r>
    </w:p>
    <w:p>
      <w:r>
        <w:rPr>
          <w:b/>
        </w:rPr>
        <w:t>E. 3</w:t>
      </w:r>
    </w:p>
    <w:p>
      <w:r>
        <w:t>Conformément aux considérants (spécialement 4.4) de l'arrêt du Tribunal fédéral du 10 septembre 2019, X.________ doit être acquitté du chef de prévention de gestion fautive. En revanche, contrairement à ce qu'il soutient, sa condamnation pour violation de l'obligation de tenir une comptabilité est définitive depuis l'arrêt du Tribunal fédéral du 23 novembre 2018. La Haute Cour l'a encore rappelé dans son arrêt du 10 septembre 2019 (consid. 1 in fine).</w:t>
      </w:r>
    </w:p>
    <w:p>
      <w:r>
        <w:rPr>
          <w:b/>
        </w:rPr>
        <w:t>E. 4.1</w:t>
      </w:r>
    </w:p>
    <w:p>
      <w:r>
        <w:t>Il faut donc fixer une nouvelle peine à X.________.</w:t>
      </w:r>
    </w:p>
    <w:p>
      <w:r>
        <w:rPr>
          <w:b/>
        </w:rPr>
        <w:t>E. 4.2</w:t>
      </w:r>
    </w:p>
    <w:p>
      <w:r>
        <w:t>Le juge fixe la peine d'après la culpabilité de l'auteur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w:t>
      </w:r>
    </w:p>
    <w:p>
      <w:r>
        <w:rPr>
          <w:b/>
        </w:rPr>
        <w:t>E. 4.3</w:t>
      </w:r>
    </w:p>
    <w:p>
      <w:r>
        <w:t>En l'espèce, seule subsiste la condamnation de l'appelant pour violation de l'obligation de tenir une comptabilité à titre de l'art. 166 CP, infraction moins grave que celle de gestion fautive de l'art. 165 CP. A charge, il y a lieu de prendre en compte le fait que c'est parce que le prévenu a violé son obligation de tenir la comptabilité de Z.________SA que les causes de la faillite de cette société n'ont pas pu être établies. A décharge, il faut tenir compte de l'ancienneté des faits. Par conséquent, l'appelant sera condamné à une peine pécuniaire de 120 jours-amende avec sursis pendant 5 ans, le montant du jour-amende restant inchangé à 20 francs.</w:t>
      </w:r>
    </w:p>
    <w:p>
      <w:r>
        <w:rPr>
          <w:b/>
        </w:rPr>
        <w:t>E. 5</w:t>
      </w:r>
    </w:p>
    <w:p>
      <w:r>
        <w:t>Les conclusions civiles d'O.________ doivent être rejetées. En effet, il n'y a pas d'acte illicite constaté pénalement en lien avec celles-ci et le Tribunal fédéral n'a pas admis que l'acte de défaut de biens délivré à O.________ après la faillite de Z.________SA valait reconnaissance de dette. Il n'existe par ailleurs aucune autre pièce au dossier attestant du montant du dommage subi par le plaignant et d'une faute éventuelle du prévenu en lien de causalité avec ce dommage. Le renvoi d'O.________ à agir devant le juge civil doit par conséquent être confirmé.</w:t>
      </w:r>
    </w:p>
    <w:p>
      <w:r>
        <w:rPr>
          <w:b/>
        </w:rPr>
        <w:t>E. 6</w:t>
      </w:r>
    </w:p>
    <w:p>
      <w:r>
        <w:t>Vu l'issue de la cause, les frais de première instance, fixés à 10'200 fr., seront mis par moitié à la charge du prévenu, soit à hauteur de 5'100 fr., le solde étant laissé à la charge de l'Etat.</w:t>
      </w:r>
    </w:p>
    <w:p>
      <w:r>
        <w:rPr>
          <w:b/>
        </w:rPr>
        <w:t>E. 7</w:t>
      </w:r>
    </w:p>
    <w:p>
      <w:r>
        <w:t>En définitive, l'appel principal de X.________ doit être partiellement admis et l'appel joint d'O.________ rejeté. Le jugement du Tribunal correctionnel de l’arrondissement de Lausanne du 6 décembre 2017 est réformé aux chiffres I, II et V de son dispositif en ce sens que X.________ est condamné, pour violation de l'obligation de tenir une comptabilité, à une peine pécuniaire de 120 jours-amende à 20 fr. le jour, avec sursis durant 5 ans, et que les frais de la cause sont mis par moitié, soit par 5'100 fr., à la charge de X.________.</w:t>
      </w:r>
    </w:p>
    <w:p>
      <w:r>
        <w:rPr>
          <w:b/>
        </w:rPr>
        <w:t>E. 8</w:t>
      </w:r>
    </w:p>
    <w:p>
      <w:r>
        <w:t>Les frais d'appel du jugement de la Cour de céans du 24 mai 2018, par 6'156 fr. 55, constitués de l'émolument d'appel par 2'820 fr., de l'indemnité du défenseur d'office de l'appelant par 2'232 fr. 60 et de l'indemnité du conseil juridique gratuit de l'appelant par voie de jonction par 1'103 fr. 95 (jgt, p. 26), seront mis par moitié, soit par 3'078 fr. 30, à la charge de l'appelant, qui succombe partiellement (art. 428 al. 1 CPP). Le solde est laissé à la charge de l'Etat. L’appelant ne sera tenu de rembourser à l'Etat la moitié de l’indemnité en faveur de son défenseur d’office, fixée à 2'232 fr. 60, et de l'indemnité en faveur du conseil juridique gratuit de l'appelant par voie de jonction, fixée à 1'103 fr. 95, que lorsque sa situation financière le permettra (art. 135 al. 4 let. a CPP).</w:t>
      </w:r>
    </w:p>
    <w:p>
      <w:r>
        <w:rPr>
          <w:b/>
        </w:rPr>
        <w:t>E. 9</w:t>
      </w:r>
    </w:p>
    <w:p>
      <w:r>
        <w:t>Les frais d'appel du jugement de la Cour de céans du 14 mars 2019, par 5'843 fr. 05, constitués de l'émolument d'appel par 1'940 fr., des indemnités des défenseurs d'office de l'appelant par 736 fr. 65 et 2'552 fr. 50 et de l'indemnité du conseil juridique gratuit de l'appelant par voie de jonction par 613 fr. 90 (jgt, p. 20), sont laissés à la charge de l'Etat.</w:t>
      </w:r>
    </w:p>
    <w:p>
      <w:r>
        <w:rPr>
          <w:b/>
        </w:rPr>
        <w:t>E. 10</w:t>
      </w:r>
    </w:p>
    <w:p>
      <w:r>
        <w:t>La liste d'opérations produite par Me Antoine Golano, défenseur d'office de l'appelant, pour la procédure d'appel après l'arrêt du Tribunal fédéral du 10 septembre 2019, indiquant 4 h de travail est admise. Au tarif horaire de 180 fr. (art. 2 al. 1 let. a RAJ [règlement sur l'assistance judiciaire en matière civile du 7 décembre 2010 ; BLV 211.02.3] applicable par renvoi de l'art. 26b TFIP [tarif des frais de procédure et indemnités en matière pénale du 28 septembre 2010 ; BLV 312.03.1]), l'indemnité d'office s'élève à 790 fr. 95, dépens par 2 % et TVA par 7,7 % compris. Vu l'issue de la cause, les frais d'appel postérieurs à l’arrêt du Tribunal fédéral du 10 septembre 2019, par 2'000 fr. 95, constitués de l'émolument du présent jugement par 1'210 fr. (art. 21 al. 1 TFIP) et de l'indemnité du défenseur d'office de l'appelant par 790 fr. 95,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