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407 vom 13. Juni 2019</w:t>
      </w:r>
    </w:p>
    <w:p>
      <w:r>
        <w:t>VD Tribunal cantonal, 2019-06-13, FR</w:t>
      </w:r>
    </w:p>
    <w:p>
      <w:r>
        <w:rPr>
          <w:b/>
        </w:rPr>
        <w:t xml:space="preserve">Quelle: </w:t>
      </w:r>
      <w:r>
        <w:t>https://mcp.opencaselaw.ch/entscheid/vd_findinfo_Jug___2019___407</w:t>
      </w:r>
    </w:p>
    <w:p>
      <w:r>
        <w:t>FR: VD_FINDINFO Jug / 2019 / 407 du 13 juin 2019</w:t>
      </w:r>
    </w:p>
    <w:p>
      <w:r>
        <w:t>IT: VD_FINDINFO Jug / 2019 / 407 del 13 giugno 2019</w:t>
      </w:r>
    </w:p>
    <w:p>
      <w:pPr>
        <w:pStyle w:val="Heading2"/>
      </w:pPr>
      <w:r>
        <w:t>Regeste</w:t>
      </w:r>
    </w:p>
    <w:p>
      <w:r>
        <w:t>VOL{DROIT PÉNAL}, DOMMAGES À LA PROPRIÉTÉ{DROIT PÉNAL}, VIOLATION DE DOMICILE, RECEL, PEINE PRIVATIVE DE LIBERTÉ, RÉVOCATION DU SURSIS, EXPULSION{DROIT PÉNAL}, CONSTATATION DES FAITS, FIXATION DE LA PEINE, DÉTENTION ILLICITE, APPRÉCIATION DES PREUVES, PRÉSOMPTION D'INNOCENCE | 139 CP, 144 CP, 186 CP, 41 CP, 49 al. 1 CP, 66a CP, 29 al. 2 Cst., 10 CPP (CH), 389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W.________ est recevable.</w:t>
      </w:r>
    </w:p>
    <w:p>
      <w:r>
        <w:rPr>
          <w:b/>
        </w:rPr>
        <w:t>E. 2</w:t>
      </w:r>
    </w:p>
    <w:p>
      <w:r>
        <w:t>e éd., Bâle 2014, n. 1 ad art. 398 CPP).</w:t>
      </w:r>
    </w:p>
    <w:p>
      <w:r>
        <w:rPr>
          <w:b/>
        </w:rPr>
        <w:t>E. 3.1</w:t>
      </w:r>
    </w:p>
    <w:p>
      <w:r>
        <w:t>et les arrêts cités).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 er mars 2011 consid. 2.2 et les références citées). En revanche, le recel ne suppose aucun dessein spécifique tel que le dessein d'enrichissement illégitime (Dupuis et alii, Petit commentaire du Code pénal, 2 e éd., Bâle 2017, n. 30 ad art. 160 CP et la référence citée).</w:t>
      </w:r>
    </w:p>
    <w:p>
      <w:r>
        <w:rPr>
          <w:b/>
        </w:rPr>
        <w:t>E. 3.2.1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3.2.2</w:t>
      </w:r>
    </w:p>
    <w:p>
      <w:r>
        <w:t>L’art. 273 al. 1 CPP prévoit que, lorsque de graves soupçons laissent présumer qu’un crime, un délit ou une contravention au sens de l’art. 179 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w:t>
      </w:r>
    </w:p>
    <w:p>
      <w:r>
        <w:rPr>
          <w:b/>
        </w:rPr>
        <w:t>E. 3.3</w:t>
      </w:r>
    </w:p>
    <w:p>
      <w:r>
        <w:t>L’appelant sollicite la mise en œuvre de contrôles téléphoniques rétroactifs entre le 14 février 2019 et le 16 février 2019, soit pour une période antérieure à six mois. Or, conformément à l’art. 273 al. 3 CPP, cette démarche n’est plus réalisable. Partant, la mesure d’instruction sollicitée ne peut être que rejetée.</w:t>
      </w:r>
    </w:p>
    <w:p>
      <w:r>
        <w:rPr>
          <w:b/>
        </w:rPr>
        <w:t>E. 4.1</w:t>
      </w:r>
    </w:p>
    <w:p>
      <w:r>
        <w:t>L’appelant reproche au premier juge une constatation manifestement inexacte des faits s’agissant de l’infraction de recel retenue à son encontre, violant ainsi le principe de la présomption d’innocence et versant dans l’arbitraire. En substance, il fait valoir que le tribunal a trop hâtivement considéré qu’il ne pouvait que savoir que la montre Chopard provenait d’une infraction puisqu’on ne voyait pas comment son ex-épouse aurait pu acquérir légalement un tel objet de luxe. Il explique qu’il y a dix ans, son ex-femme travaillait en Suisse dans une laiterie, qu’elle effectuait également des ménages et qu’elle gardait des enfants. Il ajoute qu’il avait pris cette montre pour la faire réparer en Suisse, puisqu’elle était cassée.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w:t>
      </w:r>
    </w:p>
    <w:p>
      <w:r>
        <w:rPr>
          <w:b/>
        </w:rPr>
        <w:t>E. 4.2.2</w:t>
      </w:r>
    </w:p>
    <w:p>
      <w:r>
        <w:t>p. 100 s.). Le choix de la sanction doit être opéré en tenant compte au premier chef de l'adéquation de la peine, de ses effets sur l'auteur et sur sa situation sociale ainsi que de son efficacité du point de vue de la prévention (ATF 144 IV 313 consid. 1.1.1 p. 317 ; ATF 137 II 297 consid. 2.3.4 p. 301 ; ATF 134 IV 97 consid. 4.2 p. 100). La faute de l'auteur n'est en revanche pas déterminante (ATF 144 IV 313 consid. 1.1.1 p. 317; ATF 137 II 297  consid. 2.3.4 p. 301).</w:t>
      </w:r>
    </w:p>
    <w:p>
      <w:r>
        <w:rPr>
          <w:b/>
        </w:rPr>
        <w:t>E. 4.3</w:t>
      </w:r>
    </w:p>
    <w:p>
      <w:r>
        <w:t>En l’occurrence, il n’existe pas de preuve matérielle absolue de la manière dont W.________ s’est retrouvé en possession de cette montre. Certes, le premier juge a retenu que l’ex-épouse de l’appelant avait offert la montre de marque Chopard à ce dernier, alors que W.________ affirme qu’elle appartenait à son ex-femme, qu’il s’agissait d’ailleurs d’une montre de femme et qu’il l’avait emportée en Suisse pour la faire réparer. Même s’il peut être retenu qu’il ne s’agissait pas d’un cadeau de l’ex-épouse de W.________ à ce dernier, il n’en demeure pas moins que les explications de l’appelant ne sont pas vraisemblables, voire totalement incroyables. Il n’est en effet pas dans le cours ordinaire des choses de la vie qu’une personne qui doit compléter son revenu d’employée de laiterie par des ménages dispose d’un tel montant disponible après paiement de ses charges courantes qu’elle puisse s’offrir une montre de grand luxe. En revanche, l’acquisition par l’ex-femme de W.________ d’une montre de luxe volée correspond davantage au profil. Et il s’avère en l’espèce que ladite montre était volée. Ainsi, l’explication du premier juge quant à l’acquisition de la montre Chopard par l’ex-épouse de l’appelant doit être confirmée.</w:t>
      </w:r>
    </w:p>
    <w:p>
      <w:r>
        <w:rPr>
          <w:b/>
        </w:rPr>
        <w:t>E. 5.1</w:t>
      </w:r>
    </w:p>
    <w:p>
      <w:r>
        <w:t>L’appelant conteste ensuite la qualification juridique retenue par le premier juge s’agissant de l’infraction de recel. Il se prévaut d’un arrêt de la Cour de cassation pénale du 21 mars 1988 (JdT 1989 IV 159) qui avait relaxé un prévenu de recel car celui-ci s’était contenté de tolérer que des marchandises qu’il savait volées par son amie soient stockées au domicile commun. Il estime que les circonstances du cas d’espèce révèlent qu’il ignorait la provenance de cette montre et n’avait aucune raison de s’en douter et considère qu’il n’a ainsi même pas eu une attitude passive, ni même toléré que l’objet soit de provenance illégale. Ainsi, le dol éventuel ne saurait être retenu contre lui.</w:t>
      </w:r>
    </w:p>
    <w:p>
      <w:r>
        <w:rPr>
          <w:b/>
        </w:rPr>
        <w:t>E. 5.2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tout d'abord l'acquisition et le fait de recevoir en don ou en gage l'objet de l'infraction, ces deux dernières variantes ne représentant que deux formes particulières d'acquisition, qui sont évoquées à titre exemplaire. Le comportement incriminé se rapporte ici à tout acte par lequel l'auteur acquiert, en accord avec l'auteur de l'infraction préalable, un pouvoir de disposition propre sur la chose (ATF 128 IV 23 consid. 3c et les références citées). Le deuxième type de comportement visé, à savoir la dissimulation, désigne tout comportement par lequel l'auteur rend plus difficile ou empêche la découverte de l'infraction. Dans ce contexte, un accord avec l'auteur de l'infraction préalable n'est pas nécessaire. L'acte de dissimulation peut consister à cacher la chose, à la déplacer dans un lieu où l'on ne se doute pas de sa présence, à la revendre, à faire de fausses déclarations, par exemple à la police, ou à procéder à une mise en scène pour dissimuler sa localisation. Le simple fait de garder le silence et de ne pas déclarer où se trouve une chose n'est punissable que dans la mesure où l'auteur est astreint à un devoir de renseigner (TF 6S.455/2003 consid.</w:t>
      </w:r>
    </w:p>
    <w:p>
      <w:r>
        <w:rPr>
          <w:b/>
        </w:rPr>
        <w:t>E. 5.3</w:t>
      </w:r>
    </w:p>
    <w:p>
      <w:r>
        <w:t>En l’espèce, la comparaison avec un arrêt de la Cour de cassation pénale qui a jugé que celui qui se limitait à tolérer la présence de marchandises volées par sa compagne au domicile commun ne se rendait pas coupable de recel, faute de comportement actif, n’est pas pertinente. L’appelant soutient en effet que c’est bien lui qui avait cette montre en sa possession avec l’intention de la faire réparer. Il en était donc seul possesseur, contrairement au cas qu’il cite. En outre, comme expliqué précédemment sous considérant 4.3, la provenance délictueuse de la montre Chopard est établie. Le prévenu devait par conséquent savoir ou aurait dû présumer que cet objet avait été obtenu au moyen d’une infraction. Sa condamnation pour recel doit être confirmée.</w:t>
      </w:r>
    </w:p>
    <w:p>
      <w:r>
        <w:rPr>
          <w:b/>
        </w:rPr>
        <w:t>E. 6.1</w:t>
      </w:r>
    </w:p>
    <w:p>
      <w:r>
        <w:t>L’appelant conteste ensuite sa participation au cambriolage au domicile de [...] et N.________. Il expose qu’il n’a jamais varié dans sa version selon laquelle il est « allé aux filles » à la [...] à [...] et qu’il ne s’est pas douté que pendant ce temps-là, ses comparses commettaient un vol. Aucun élément ne permettrait d’établir que la version de l’appelant serait fausse. En outre, ses deux comparses connaissaient également la région, de sorte qu’ils n’avaient pas besoin de lui pour réaliser leur forfait.</w:t>
      </w:r>
    </w:p>
    <w:p>
      <w:r>
        <w:rPr>
          <w:b/>
        </w:rPr>
        <w:t>E. 6.2</w:t>
      </w:r>
    </w:p>
    <w:p>
      <w:r>
        <w:t>En l’occurrence, l’appelant ne manque pas d’audace lorsqu’il soutient qu’aucun élément n’infirme sa version. Il oublie simplement les dépositions de ses deux compagnons. Aux débats, face à l’appelant, A.________ a déclaré que W.________ était « resté dans la voiture » et ne voulait pas participer au cambriolage de la maison choisie par A.________ et V.________. Il a d’ailleurs exclu que l’appelant soit allé voir les prostituées (« je ne suis pas allé voir les filles. W.________ n’y est pas allé non plus selon moi »). La version de l’appelant est ainsi déjà bien mise à mal par ce co-accusé, alors même que celui-ci semble bien disposé à ne pas l’incriminer en déclarant que l’appelant est resté dans la voiture. Si l’appelant était vraiment allé voir les prostituées, il ne coûterait donc rien à A.________ de le dire. Cela aurait même été plus simple et plus efficace. On peut dès lors conclure que W.________ ne dit pas la vérité. Ce constat est encore renforcé à la lecture de ce que déclare V.________ en cours d’enquête, étant rappelé que libéré de détention, il a été dispensé des débats. Après avoir vainement soutenu qu’il n’avait rien fait, V.________ a déclaré : « W.________ a ensuite proposé d’aller faire un tour à [...]. (…)W.________ nous a désigné la maison et il a expliqué à A.________ que nous pouvions entrer dans cette maison sans risque et qu’il n’y avait personne. Il nous a dit par quel endroit nous pouvions entrer dans la maison, soit par le sous-sol. W.________ est resté vers le véhicule et A.________ et moi on est allé en direction de la villa. W.________ ne voulait pas participer car il a dit qu’il avait travaillé dans les environs de la maison et qu’il était connu. Pour vous répondre, je sais que W.________ travaille dans la construction et il avait l’air de très bien connaître la disposition de la maison ». Plus loin, V.________ a exclu catégoriquement la version de l’appelant selon laquelle il serait allé voir les prostituées : « ça, c’est un mensonge. Vous me résumez les déclarations de W.________ à ce sujet, c’est faux ». A.________ et V.________ sont donc d’accord pour écarter la version de l’appelant. Le trio entretient de bonnes relations et l’intérêt d’incriminer gratuitement W.________ est inexistant. A.________ a encore moins intérêt à mentir, puisqu’il tente lui aussi de ne pas trop incriminer W.________. La version de l’appelant ne pouvant pas être retenue, il faut établir un autre état de fait. C’est ce qu’a fait à juste titre le tribunal en retenant la version de V.________ qui est effectivement cohérente et crédible. Si W.________ n’avait effectivement rien fait, comme il le prétend, on ne voit pas ni pourquoi A.________ et V.________ ne confirmeraient pas sa version s’il était allé voir des prostituées, ni pourquoi lui-même ment en inventant cette histoire de prostituées s’il n’y est pas allé. Ainsi, l’état de fait du jugement sur ce point doit être confirmé.</w:t>
      </w:r>
    </w:p>
    <w:p>
      <w:r>
        <w:rPr>
          <w:b/>
        </w:rPr>
        <w:t>E. 7.1</w:t>
      </w:r>
    </w:p>
    <w:p>
      <w:r>
        <w:t>A titre subsidiaire, s’il n’était pas cru dans la démonstration de son innocence, l’appelant plaide la complicité pour le cas du cambriolage.</w:t>
      </w:r>
    </w:p>
    <w:p>
      <w:r>
        <w:rPr>
          <w:b/>
        </w:rPr>
        <w:t>E. 7.2</w:t>
      </w:r>
    </w:p>
    <w:p>
      <w:r>
        <w:t>Est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 La complicité est définie à l’art. 25 CP (Code pénal suisse du 21 décembre 1937 ; RS 311) comme le fait de prêter assistance. Selon cette disposition, la peine est atténuée à l’égard de quiconque a intentionnellement prêté assistance à l’auteur pour commettre un crime ou un délit. Le complice est donc un participant secondaire ;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 le complice doit augmenter les chances de succès de l'infraction (ATF 121 IV 109 ; JT 1996 IV 95).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consid. 3a ; ATF 118 IV 309 c. 1a et les arrêts cités).</w:t>
      </w:r>
    </w:p>
    <w:p>
      <w:r>
        <w:rPr>
          <w:b/>
        </w:rPr>
        <w:t>E. 7.3</w:t>
      </w:r>
    </w:p>
    <w:p>
      <w:r>
        <w:t>En l’occurrence, l’état de fait ne permet pas de retenir la complicité. Le rôle de celui qui propose de venir à [...], choisit la cible du cambriolage et explique comment entrer dépasse celui endossé par le complice qui fournit une aide marginale à la commission de l’infraction. Cela vaut d’autant plus que si W.________ n’est pas entré dans la villa, c’est uniquement par peur d’être reconnu par le voisinage et non en raison d’une implication moindre dans le projet criminel. Ainsi, son argument tombe à faux et l’appelant doit être reconnu, à l’instar de ses deux comparses, coupable de vol, dommages à la propriété et violation de domicile.</w:t>
      </w:r>
    </w:p>
    <w:p>
      <w:r>
        <w:rPr>
          <w:b/>
        </w:rPr>
        <w:t>E. 8.1</w:t>
      </w:r>
    </w:p>
    <w:p>
      <w:r>
        <w:t>A titre encore plus subsidiaire, l’appelant conteste la peine prononcée. Il estime que cette peine ne tient pas compte de toutes les circonstances à décharge, notamment son rôle passif et sa volonté délictueuse moindre. Il soutient en outre qu’une peine pécuniaire aurait dû être prononcée.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8.2.2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 ATF 134 IV 97 consid.</w:t>
      </w:r>
    </w:p>
    <w:p>
      <w:r>
        <w:rPr>
          <w:b/>
        </w:rPr>
        <w:t>E. 8.3</w:t>
      </w:r>
    </w:p>
    <w:p>
      <w:r>
        <w:t>En l’espèce, son rôle passif et sa volonté délictuelle moindre ont déjà été écartés sous considérant 7.3 ci-dessus. La quotité de la peine fixée par le premier juge est par ailleurs adéquate. Quant au genre de peine, deux précédentes condamnations à des jours-amendes n’ont pas dissuadé l’appelant de commettre de nouvelles infractions. Des motifs de prévention spéciale commandent dès lors une peine privative de liberté.</w:t>
      </w:r>
    </w:p>
    <w:p>
      <w:r>
        <w:rPr>
          <w:b/>
        </w:rPr>
        <w:t>E. 9.1</w:t>
      </w:r>
    </w:p>
    <w:p>
      <w:r>
        <w:t>L’appelant plaide le sursis parce qu’il est un délinquant primaire en matière d’infractions contre le patrimoine. Il prétend en outre qu’il ne faudrait pas révoquer le précédent sursis car la peine réprimait une infraction différente.</w:t>
      </w:r>
    </w:p>
    <w:p>
      <w:r>
        <w:rPr>
          <w:b/>
        </w:rPr>
        <w:t>E. 9.2.1</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consid. 1.2).</w:t>
      </w:r>
    </w:p>
    <w:p>
      <w:r>
        <w:rPr>
          <w:b/>
        </w:rPr>
        <w:t>E. 9.2.2</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9.3</w:t>
      </w:r>
    </w:p>
    <w:p>
      <w:r>
        <w:t>En l’occurrence, l’appelant a déjà été condamné une fois pour infraction à la LEI (Loi fédérale du 16 décembre 2005 sur les étrangers et l’intégration, dénommée Loi fédérale sur les étrangers avant le 1 er janvier 2019 [LEtr] ; RS 142.20) et une fois pour infraction à la LCR (Loi fédérale sur la circulation routière du 19 décembre 1958 ; RS 741.01). Incapable de se conformer à l’ordre juridique suisse, il commet de nouvelles infractions dans un nouveau domaine. La gravité des infractions va en s’accroissant. Deux précédents sursis n’ont exercé aucun effet dissuasif. L’appelant ne procède à aucune prise de conscience et s’enferre dans le déni jusqu’à l’absurde. Le pronostic est dès lors clairement défavorable. Cette appréciation vaut aussi bien pour le sursis à prononcer pour les nouveaux faits à juger que pour la révocation du précédent sursis. Ainsi, il y a lieu de prononcer une peine ferme et de révoquer le sursis qui avait été accordé à l’appelant le 9 octobre 2018 par le Ministère public de l’arrondissement du Nord vaudois et d’ordonner l’exécution de la peine pécuniaire de 25 jours-amende à 30 fr. le jour.</w:t>
      </w:r>
    </w:p>
    <w:p>
      <w:r>
        <w:rPr>
          <w:b/>
        </w:rPr>
        <w:t>E. 10.1</w:t>
      </w:r>
    </w:p>
    <w:p>
      <w:r>
        <w:t>L’appelant conteste son expulsion du territoire suisse. Il met en avant son permis B, son amie en Suisse, l’enfant à naître, son travail, ses liens sociaux forts avec la Suisse et la gravité relative des infractions.</w:t>
      </w:r>
    </w:p>
    <w:p>
      <w:r>
        <w:rPr>
          <w:b/>
        </w:rPr>
        <w:t>E. 10.2</w:t>
      </w:r>
    </w:p>
    <w:p>
      <w:r>
        <w:t>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w:t>
      </w:r>
    </w:p>
    <w:p>
      <w:r>
        <w:rPr>
          <w:b/>
        </w:rPr>
        <w:t>E. 10.3</w:t>
      </w:r>
    </w:p>
    <w:p>
      <w:r>
        <w:t>En l’espèce, le comportement délictueux de l’appelant tombe sous le coup de l’art. 66a al. 1 let. d CP, compte tenu de la confirmation de sa condamnation pour vol et violation de domicile, si bien qu’il se trouve dans un cas d’expulsion obligatoire. Excepté six mois de séjour en 2000 et un séjour illégal en Suisse en 2009, l’appelant est revenu en Suisse en 2016. En ce laps de temps relativement court, il a accumulé trois condamnations. Il n’est pas marié en Suisse, étant rappelé que la jurisprudence n’assimile pas le concubinage au mariage (cf. 6B_612/2018 du 22 août 2018, consid. 2.7). Il est donné acte à l’appelant que son employeur est satisfait de ses services, mais cela ne démontre pas une intégration professionnelle particulièrement aboutie. Ses liens sociaux en Suisse ne sont pas davantage démontrés. Au contraire, il est constaté une grande difficulté à respecter l’ordre juridique. De plus, la prise de conscience de l’appelant est inexistante. Pour les mêmes motifs que ceux exposés en relation avec le refus du sursis, le pronostic est sombre. En outre, les infractions commises ne sont pas aussi peu graves que le soutient l’appelant. Ainsi, l’expulsion prononcée par le premier juge, qui ne consacre en aucune manière un cas de rigueur, est justifiée.</w:t>
      </w:r>
    </w:p>
    <w:p>
      <w:r>
        <w:rPr>
          <w:b/>
        </w:rPr>
        <w:t>E. 11</w:t>
      </w:r>
    </w:p>
    <w:p>
      <w:r>
        <w:t>Au vu de ce qui précède, l’appel interjeté par W.________ doit être rejeté et le jugement du 13 juin 2019 confirmé. Le défenseur d’office de W.________ a produit une liste d’opérations faisant état d’un temps total consacré au mandat de 13 heures et 12 minutes pour Me Samuel Pahud et de 9 heures et 15 minutes pour son avocat‑stagiaire. De cette prétention jugée excessive, il convient tout d’abord de retrancher 45 minutes relatives aux quatre premières opérations de la liste, déjà indemnisées dans le cadre du jugement de première instance. Il y  a également lieu de soustraire 18 minutes pour trois notices. On ne comprend pas à quoi ce travail correspond et on n'en discerne pas l'utilité pour la cause. On ne saurait par conséquent tenir compte de ce poste dans le décompte des heures utiles au traitement de l'appel. Il convient aussi de retrancher deux opérations intitulées « (stagiaire) prise de connaissance dossier » et « (stagiaire) lecture jugement, notes », comptabilisées à hauteur de 2 heures et 9 minutes et effectuées par l’avocat-stagiaire. En effet, l’opération « examen jgt motivé + annot. » ayant déjà été comptabilisée au tarif de l’avocat, il y a lieu de ne pas rémunérer deux fois le même travail. En outre, les heures alléguées pour ces postes ayant été effectuées pour des motifs de formation de l’avocat-stagiaire, celles-ci n’ont pas à être indemnisées. C’est ainsi une indemnité de 3'389 fr. 70, correspondant à 12 heures et 9 minutes effectuées par l’avocat au tarif horaire de 180 fr. et à 7 heures et 6 minutes effectuées par l’avocat-stagiaire au tarif horaire de 110 fr., à 2% de débours forfaitaires (art. 19 al. 2 TDC [Tarif des dépens en matière civile du 23 novembre 2010 ; BLV 270.11.6], applicable par renvoi de l’art. 26a al. 6 TFIP [Tarif des frais de procédure et indemnités en matière pénale du 28 septembre 2010 ; BLV 312.03.1]) par 59 fr. 35, à 120 fr. de vacation et à 242 fr. 35 de TVA qui doit être allouée à Me Samuel Pahud pour la procédure d’appel. Vu l’issue de la cause, les frais de la procédure d’appel, par 6'289 fr. 70, composés des émoluments de jugement et d’audience (art. 21 al. 1 et 2 TFIP), par 2'900 fr., ainsi que de l'indemnité allouée au défenseur d’office de l'appelant, par 3'389 fr. 70, seront mis à la charge de l'appelant, qui succombe (art. 428 al. 1 CPP). L'appelant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