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394 vom 20. August 2019</w:t>
      </w:r>
    </w:p>
    <w:p>
      <w:r>
        <w:t>VD Tribunal cantonal, 2019-08-20, FR</w:t>
      </w:r>
    </w:p>
    <w:p>
      <w:r>
        <w:rPr>
          <w:b/>
        </w:rPr>
        <w:t xml:space="preserve">Quelle: </w:t>
      </w:r>
      <w:r>
        <w:t>https://mcp.opencaselaw.ch/entscheid/vd_findinfo_Jug___2019___394</w:t>
      </w:r>
    </w:p>
    <w:p>
      <w:r>
        <w:t>FR: VD_FINDINFO Jug / 2019 / 394 du 20 août 2019</w:t>
      </w:r>
    </w:p>
    <w:p>
      <w:r>
        <w:t>IT: VD_FINDINFO Jug / 2019 / 394 del 20 agosto 2019</w:t>
      </w:r>
    </w:p>
    <w:p>
      <w:pPr>
        <w:pStyle w:val="Heading2"/>
      </w:pPr>
      <w:r>
        <w:t>Regeste</w:t>
      </w:r>
    </w:p>
    <w:p>
      <w:r>
        <w:t>DÉPENS, INDEMNITÉ{EN GÉNÉRAL}, ACQUITTEMENT | 429 al. 1 let. a CPP (CH)</w:t>
      </w:r>
    </w:p>
    <w:p>
      <w:pPr>
        <w:pStyle w:val="Heading2"/>
      </w:pPr>
      <w:r>
        <w:t>Erwägungen</w:t>
      </w:r>
    </w:p>
    <w:p>
      <w:r>
        <w:rPr>
          <w:b/>
        </w:rPr>
        <w:t>E. 1.1</w:t>
      </w:r>
    </w:p>
    <w:p>
      <w:r>
        <w:t>Interjeté dans les formes et délais légaux (cf. art. 399 CPP) contre le jugement d’un tribunal de première instance ayant clos la procédure (art. 398 al. 1 CPP), l'appel formé par P.________ est recevable.</w:t>
      </w:r>
    </w:p>
    <w:p>
      <w:r>
        <w:rPr>
          <w:b/>
        </w:rPr>
        <w:t>E. 1.2</w:t>
      </w:r>
    </w:p>
    <w:p>
      <w:r>
        <w:t>L’appel ne porte que sur la question des frais et de l’indemnité au sens de l’art. 429 CPP, de sorte qu’il relève de la procédure écrite (art.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et les références citées). Pour déterminer si le comportement en cause est propre à justifier l'imputation des frais, respectivement l’exclusion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2011 ; RS 220). Le fait reproché doit constituer une violation claire de la norme de comportement (ATF 144 IV 202 consid. 2.2 ; TF 6B_886/2018 du 31 octobre 2018). Si le prévenu est libéré d'un chef d'accusation et condamné pour d’autres, il sera condamné aux frais relatifs à sa condamnation et aura respectivement droit à une indemnité correspondant à son acquittement partiel (cf. Message FF 2006, p. 1313 ad art. 438 CPP [actuel art. 430 CPP] ; TF 6B_300/2012 du 10 juin 2013 consid. 2.4 ; CREP 11 février 2019/77 consid. 2.2.2).</w:t>
      </w:r>
    </w:p>
    <w:p>
      <w:r>
        <w:rPr>
          <w:b/>
        </w:rPr>
        <w:t>E. 3</w:t>
      </w:r>
    </w:p>
    <w:p>
      <w:r>
        <w:t>L’appelant reproche aux premiers juges d’avoir refusé de lui allouer une indemnité fondée sur l’art. 429 al. 1 let. a CPP de 30'000 francs. Il expose que cette somme comprend les honoraires de son avocat pour un montant de l’ordre de 21'000 fr., les frais liés à l’analyse fiduciaire, qui a permis selon lui de démontrer le solde positif modeste de l’exploitation des locaux de l’immeuble sis [...], pour 8'210 fr. 10 et les honoraires du détective privé qu’il a mandaté pour faire une étude du marché des lieux de prostitution, à hauteur de 3'000 francs. Il ajoute que ces deux moyens de preuve n’auraient jamais été mis en œuvre par la direction de la procédure, dès lors que l’ensemble de ses réquisitions ont été rejetées par le Ministère public ou le tribunal, et qu’ils étaient nécessaires pour démontrer son innocence. L’appelant reproche aux premiers juges d’avoir considéré qu’il a commis une faute civile évidente sans préciser laquelle. Il relève en outre que l’argumentation de ces derniers ne semble concerner que les locations des chambres à des personnes bénéficiant de l’aide sociale dans l’immeuble sis au [...], et non les studios loués aux prostituées au [...], qu’aucune réclamation civile n’a toutefois été émise contre lui pour ces locations, qu’aucun loyer initial n’a été contesté, qu’aucune plainte n’a été déposée et qu’aucune instruction n’a tenté de démontrer une insuffisance du rapport qualité-prix des chambres louées. Il ajoute enfin que le tribunal lui-même a retenu que le prix de location des chambres précitées obéissait aux lois de l’offre et de la demande. Ainsi, l’appelant considère qu’il n’a pas provoqué illicitement ou fautivement l’ouverture de la procédure, pas plus qu’il a rendu sa conduite plus difficile.</w:t>
      </w:r>
    </w:p>
    <w:p>
      <w:r>
        <w:rPr>
          <w:b/>
        </w:rPr>
        <w:t>E. 3.1.1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(ATF 142 IV 45 consid. 2.1 ; TF 6B_331/2019 du 6 mai 2019 consid. 3.1). Elle n'est pas limitée aux cas de défense obligatoire visés par l'art. 130 CPP et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6B_237/2016 du 18 juillet 2016 consid. 3.1). L'indemnité visée par l'art. 429 al. 1 let. a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depuis le 1 er avril 2014 par l'adoption de l'art. 26a TFIP (Tarif des frais de procédure et indemnités en matière pénale du 28 septembre 2010 ; BLV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Selon une partie de la doctrine, les frais engagés afin de faire verser au dossier des moyens de preuve, en particulier une expertise privée, pourraient devoir être remboursés sur la base de l’art. 429 al. 1 let. a CPP, si le litige est complexe et si les moyens de preuve en question ont déterminé la mise hors de cause du prévenu (cf. Mizel/Rétornaz, in : Kuhn/Jeanneret [éd.], Commentaire romand, Code de procédure pénale suisse, Bâle 2011, n. 39 ad art. 429 CPP).</w:t>
      </w:r>
    </w:p>
    <w:p>
      <w:r>
        <w:rPr>
          <w:b/>
        </w:rPr>
        <w:t>E. 3.1.2</w:t>
      </w:r>
    </w:p>
    <w:p>
      <w:r>
        <w:t>En vertu de l'art. 430 al. 1 let. a CPP, l'autorité pénale peut réduire ou refuser l'indemnité ou la réparation du tort moral lorsque le prévenu a provoqué illicitement et fautivement l'ouverture de la procédure ou a rendu plus difficile la conduite de celle-ci. L'art. 430 al. 1 let. a CPP est le pendant de l'art. 426 al. 2 CPP en matière de frais.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137 IV 352 consid. 2.4.2 ; TF 6B_548/2018 du 18 juillet 2018 consid. 1.1.2). Lorsque la condamnation aux frais n'est que partielle, la réduction de l'indemnité devrait s'opérer dans la même mesure (TF 6B_548/2018 du 18 juillet 2018 consid. 1.1.2 et les arrêts cités). En revanche, si l'Etat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(ATF 137 IV 352 consid. 2.4.2 ; TF 6B_548/2018 du 18 juillet 2018 consid. 1.1.2 et l’arrêt cité).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w:t>
      </w:r>
    </w:p>
    <w:p>
      <w:r>
        <w:rPr>
          <w:b/>
        </w:rPr>
        <w:t>E. 3.2.1</w:t>
      </w:r>
    </w:p>
    <w:p>
      <w:r>
        <w:t>S’agissant de la question des frais de procédure et de l’indemnité, les premiers juges ont retenu qu’une faute civile devait être imputée à P.________ pour les loyers perçus auprès des personnes émargeant aux services sociaux, ce qui justifiait de mettre une part des frais d’enquête à la charge de celui-ci. Ils ont toutefois estimé adéquat et justifié de compenser ces frais avec l’indemnisation à laquelle il aurait pu prétendre à forme de l’art. 429 CPP en relation avec les honoraires d’avocat de choix. Le Tribunal a en outre précisé qu’il aurait de toute manière été exclu d’indemniser P.________ pour les recherches qu’il a engagées en s’adressant à un détective privé et à une fiduciaire, dès lors que, supposés nécessaires, ces frais auraient été évités par une réquisition en cours d’instruction pour l’objet traité par le détective et par la production spontanée d’une comptabilité sur l’exploitation des logements par l’appelant.</w:t>
      </w:r>
    </w:p>
    <w:p>
      <w:r>
        <w:rPr>
          <w:b/>
        </w:rPr>
        <w:t>E. 3.2.2</w:t>
      </w:r>
    </w:p>
    <w:p>
      <w:r>
        <w:t>Les premiers juges semblent donc avoir retenu l’existence d’une faute civile de l’appelant en lien les loyers perçus pour l’appartement sis au [...], aménagé en quatre chambres distinctes, meublées et équipées, auprès des personnes émargeant aux services sociaux. Ils ne précisent toutefois pas quelle norme de comportement aurait été violée par l’intéressé. De l’avis de la Cour de céans, le comportement adopté par P.________ pourrait, d’une part, avoir porté atteinte à la personnalité des personnes précitées (cf. art. 28 CC [Code civil suisse du 10 décembre 1907 ; RS 210]) et, d’autre part, être constitutif d’une violation des règles de protection contre les loyers abusifs (art. 269 ss CO). Cela étant, on doit tout d’abord constater que le dossier ne contient pas suffisamment d’éléments pour établir que les personnes émargeant à l’aide sociale qui ont sous-loué une chambre au sein de l’appartement de quatre pièces sis [...] ont subi une atteinte à leur personnalité. En effet, les sous-locataires concernés n’ont pour la plupart pas été entendus au cours de la procédure, de sorte qu’il n’est pas possible de déterminer si celles-ci se sont véritablement retrouvées dans une situation où elles auraient été entravées dans leur liberté d’action, en étant par exemple contraintes d’accepter de loger dans les chambres de l’appartement susmentionné et d’en payer le loyer. La seule personne entendue, soit le dénommé [...], a au contraire déclaré que les prestations fournies avec la chambre étaient de bonnes qualités, que le prix qu’il payait était correct, qu’il était satisfait des conditions de son logement et qu’il avait de la chance que P.________ l’ai accepté comme locataire (PV aud. 10, pp. 3-4). Par ailleurs, au vu des déclarations d’un représentant des services sociaux, il apparaît que les loyers des personnes émargeant à l’aide sociale étaient pris en charge directement par l’institution, si bien que celles-ci n’ont en principe de toute manière pas eu à prendre en charge elles-mêmes le coût du loyer (PV aud. 8). Pour le reste, il est vrai que P.________ a sous-loué l’appartement [...] pour un montant total de l’ordre de 5'500 fr. alors qu’il payait lui-même un loyer de 2'680 fr. pour cet appartement. Cependant, force est d’admettre que les éléments au dossier ne suffisent pas pour démontrer que les loyers convenus entre l’appelant et ses sous-locataires étaient abusifs au sens des art. 269 ss CO. En effet, d’une part, on ignore le prix du marché pour un logement meublé tel que celui aménagé par l’appelant et incluant les services proposés par celui-ci (cf. par ex. P. 48). On rappellera en outre que la comparaison d’un loyer d’une sous-location avec le loyer principal ne suffit pas pour déterminer si des loyers sont abusifs (TF 6B_387/2008 du 15 août 2008 consid. 2.2). D’autre part, on ne dispose pas de suffisamment d’éléments pour effectuer un calcul de rendement, même sous la forme d’une ébauche. Par ailleurs, s’il est vrai que l’appelant ne paraît pas respecter toutes les règles sur le contrat de bail, notamment parce qu’il sous-loue un logement sans avoir l’intention d’y retourner et a omis, semble-t-il, d’utiliser une formule officielle au moment de la conclusion des contrats avec les sous-locataires (cf. Lachat, et al., Le bail à loyer, Lausanne 2019, pp. 722 et 740 et les références citées), on ne voit toutefois pas en quoi ces manquements pourraient avoir été à l’origine de l’ouverture d’une procédure pénale. En conclusion, à défaut de pouvoir établir que P.________ a provoqué illicitement et fautivement l’ouverture de la procédure pénale, ou qu’il en a rendu plus difficile la conduite, aucun frais ne pouvait être mis à sa charge. Il a donc droit à une indemnisation au sens de l’art. 429 CPP.</w:t>
      </w:r>
    </w:p>
    <w:p>
      <w:r>
        <w:rPr>
          <w:b/>
        </w:rPr>
        <w:t>E. 3.2.3</w:t>
      </w:r>
    </w:p>
    <w:p>
      <w:r>
        <w:t>En l’espèce, l’appelant demande le remboursement des frais liés à l’analyse fiduciaire qu’il a sollicitée et aux honoraires du détective privé qu’il a mandaté. Cependant, l’appelant n’a jamais requis de telles mesures d’instruction devant le Procureur avant de les mettre en œuvre personnellement. Or, une telle requête, suivie d’un refus de la part de la direction de la procédure, est un préalable nécessaire à toute indemnisation des frais engagés afin de faire verser au dossier des moyens de preuve. En outre, s’agissant de l’analyse financière en particulier, on relève que si l’appelant avait tenu une comptabilité détaillée pour chacun des immeubles dont il gérait l’exploitation, cette dernière aurait amplement suffit à démontrer le résultat de son activité et lui aurait évité de devoir faire appel à une société fiduciaire. De toute manière, aucun des documents produits en lien avec les mesures d’instruction qu’il a mises en œuvre n’a été déterminant pour justifier son acquittement. Dans ces conditions, il n’y a pas matière à indemniser le prévenu sur ce point. En ce qui concerne les frais de l’avocat, P.________ demande une indemnité de 21'000 francs. Au cours des débats devant l’autorité de première instance, il a produit une note d’honoraires (P. 80/2), faisant état de 53 heures et 35 minutes au tarif horaire de 360 francs. Le nombre d’heures d’activité allégué par l’avocat est toutefois trop important. On relève en particulier que le nombre de lettres adressées au client, ainsi que les appels téléphoniques à celui-ci sont à ce point fréquents (environ 36 postes) qu’on ne peut que considérer qu’une partie de ceux-ci n’était pas nécessaire à un accomplissement raisonnable du mandat. Il y a ainsi lieu de retrancher la moitié de cette activité, soit 1 heure et 10 minutes. Il en va de même des conférences avec le client. Outre les contacts précités, la note d’honoraires fait en effet état d’un nombre total de 31 conférences pour une durée totale de 14 heures et 40 minutes. En réalité, au vu de la durée de la procédure, d’environ 1 an et demi, des entretiens entre l’avocat et le client pour une durée totale de 8 heures étaient suffisants. Il convient donc de retrancher</w:t>
      </w:r>
    </w:p>
    <w:p>
      <w:r>
        <w:rPr>
          <w:b/>
        </w:rPr>
        <w:t>E. 6</w:t>
      </w:r>
    </w:p>
    <w:p>
      <w:r>
        <w:t>heures et 40 minutes à cet égard. Enfin, il faut retrancher 40 minutes en lien avec les postes relatifs aux photocopies du dossier pénal, puisqu’une telle activité n’entre pas dans le cadre d’une activité de l’avocat. En définitive, il y a lieu de retenir un total arrondi de 45 heures d’activité d’avocat. Dans la mesure où la présente affaire était de difficulté moyenne, un tarif horaire de 300 fr. est adéquat. Il se justifie donc d’allouer à P.________ une indemnité de 13'500 fr., auxquels il convient d’ajouter des débours forfaitaires à concurrence de 5% (art. 19 al. 2 TDC [Tarif des dépens en matière civile du 23 novembre 2010 ; BLV 270.11.6], applicable par renvoi de l’art. 26a al. 6 TFIP), par 675 fr., plus un montant correspondant à la TVA, par 1'091 fr. 50, soit 15'266 fr. 50 au total. 4. En définitive, l’appel doit être partiellement admis et le jugement attaqué réformé au chiffre IV de son dispositif en ce sens qu’une indemnité de 15'266 fr. 50 est allouée à P.________ pour les dépenses occasionnées par l’exercice raisonnable de ses droits de procédure. Vu l’issue de la cause, les frais de la procédure d'appel, constitués de l'émolument de jugement, par 1’540 fr. (art. 21 al. 1 et 2 TFIP [Tarif des frais de procédure et indemnités en matière pénale du 28 septembre 2010 ; BLV 312.03.1]), seront mis pour moitié, soit par 770 fr., à la charge de P.________, qui succombe dans cette mesure sur ces conclusions (art. 428 al. 1 CPP), l’autre moitié étant laissée à la charge de l’Etat. Obtenant gain de cause partiellement, P.________ a droit, de la part de l’Etat, à une indemnité réduite de moitié pour les dépenses occasionnées par la procédure d’appel. Au vu du mémoire produit, l’indemnité complète aurait été fixée à 900 fr. (soit 3 heures de travail à 300 francs ; cf. art. 26a al. 3 TFIP), auxquels il convient d’ajouter des débours forfaitaires à concurrence de 2% (art. 19 al. 2 TDC, applicable par renvoi de l’art. 26a al. 6 TFIP), par 18 fr., plus un montant correspondant à la TVA, par 70 fr. 70, soit 988 fr. 70 au total. C’est donc un montant de 494 fr. 35 qui sera alloué à l’appelant pour la procédure d’appel. Les frais d’appel mis à la charge de P.________ sont compensés avec l’indemnité qui lui est allouée pour la procédure d’appel (art. 442 al. 4 CPP), le solde dû à l’Etat par l’appelant étant de 275 fr. 65 (770 fr. - 494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