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374 vom 24. November 2020</w:t>
      </w:r>
    </w:p>
    <w:p>
      <w:r>
        <w:t>VD Tribunal cantonal, 2020-11-24, FR</w:t>
      </w:r>
    </w:p>
    <w:p>
      <w:r>
        <w:rPr>
          <w:b/>
        </w:rPr>
        <w:t xml:space="preserve">Quelle: </w:t>
      </w:r>
      <w:r>
        <w:t>https://mcp.opencaselaw.ch/entscheid/vd_findinfo_Jug___2019___374</w:t>
      </w:r>
    </w:p>
    <w:p>
      <w:r>
        <w:t>FR: VD_FINDINFO Jug / 2019 / 374 du 24 novembre 2020</w:t>
      </w:r>
    </w:p>
    <w:p>
      <w:r>
        <w:t>IT: VD_FINDINFO Jug / 2019 / 374 del 24 novembre 2020</w:t>
      </w:r>
    </w:p>
    <w:p>
      <w:pPr>
        <w:pStyle w:val="Heading2"/>
      </w:pPr>
      <w:r>
        <w:t>Regeste</w:t>
      </w:r>
    </w:p>
    <w:p>
      <w:r>
        <w:t>RESPONSABILITÉ DE DROIT PRIVÉ, RESPONSABILITÉ DÉLICTUELLE, AUTOMOBILE, PRESCRIPTION, PERTE DE GAIN, TORT MORAL | 44 CO, 46 CO, 47 CO, 49 CO, 44 al. 2 LAA, 58 al. 1 LCR, 62 al. 1 LCR, 83 al. 1 LCR</w:t>
      </w:r>
    </w:p>
    <w:p>
      <w:pPr>
        <w:pStyle w:val="Heading2"/>
      </w:pPr>
      <w:r>
        <w:t>Erwägungen</w:t>
      </w:r>
    </w:p>
    <w:p>
      <w:r>
        <w:rPr>
          <w:b/>
        </w:rPr>
        <w:t>E. 1</w:t>
      </w:r>
    </w:p>
    <w:p>
      <w:r>
        <w:t>LCR, du seul fait que l'emploi du véhicule est en relation de causalité avec le dommage, ce lien devant être naturel et adéquat (ATF 95 II 344 consid. 6;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ATF 133 III 81 consid. 4.2.2, rés. in JdT 2007 I 309 et les références citées; Werro, RC,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consid. 4.1, JdT 2005 I 472; ATF 123 III 110 consid. 3a, JdT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consid. 4.1, JdT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suisse du 10 décembre 1907; RS 210); il s'agit de déterminer si un dommage peut être équitablement imputé à l'auteur d'un acte illicite ou à celui qui en répond en vertu d'un contrat ou de la loi (ATF 123 III 110 consid. 3a, JdT 1997 I 791 et les références citées). Il n'y aura rupture du lien de causalité adéquate, l’enchaînement des faits perdant alors sa portée juridique, que si une autre cause concomitante, par exemple le comportement de la victime, le fait d’un tiers ou la force majeure,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JdT 2005 I 548; ATF 130 III 182 consid. 5.4, JdT 2005 I 3). Selon les circonstances, il peut alors y avoir influence sur le calcul du dommage (art. 42 CO) ou le montant des dommages-intérêts (art. 43 et 44 CO) (TF 4C.415/2006 du 11 septembre 2007 consid. 3.2; ATF 123 III 110 consid. 3c, JdT 1997 I 791; Rey, op. cit., nn. 605, 606, 607b et 607c). b) aa) En l'espèce, la demanderesse, passagère du véhicule conduit par le défendeur, détenteur du véhicule, assuré par la défenderesse, a été victime le 18 octobre 1997 d'un grave accident de la circulation à la suite duquel elle a subi deux opérations chirurgicales. Le Dr [...], FMH orthopédie et chirurgie, mandaté par la défenderesse, a constaté le 1 er septembre 2000 que les troubles de la demanderesse étaient « de façon certaine » en causalité avec l’accident litigieux. Le Dr [...], neurochirurgien, a relevé le 14 avril 2003 que la péjoration de l’état de santé de la patiente provenait uniquement de l’accident, dès lors qu’elle était en parfaite santé avant l’événement. Le Dr [...], FMH en médecine physique et réhabilitation – spécialiste de la colonne vertébrale, expert désigné par la défenderesse, a confirmé le 4 avril 2006 que l’accident était la cause certaine à 100% de l’atteinte à la santé de la demanderesse et qu’aucun élément préexistant ne pouvait être « suspecté comme défavorable » chez cette dernière s’agissant d’états préexistants ou de prédispositions constitutionnelles. Le 23 mars 2012, l’expert judiciaire [...], médecin chef du Service d’orthopédie et traumatologie du CHUV, a observé les diagnostics suivants : fracture complexe de la jonction cervico-dorsale avec lésion ligamentaire postérieure et souffrance médullaire secondaire traitée par double abord chirurgical ; douleurs chroniques post-traumatiques ; cyphose résiduelle thoracique haute. Il a précisé que la date de la survenance de ces atteintes était le 18 octobre 1997, soit le jour de l’accident litigieux. Il n’a pas constaté d’antécédents médicaux particuliers. Il a relevé que la demanderesse avait subi un traumatisme à haute énergie de la région thoracique haute avec une lésion ligamentaire associée de la jonction cervico-thoracique, dont les séquelles importantes sous forme de douleurs chroniques résistaient au traitement chirurgical, y compris par double abord. Le 20 mars 2014, l’experte judiciaire [...], du Bureau d’expertise médicale, a observé que la demanderesse avait subi un grave traumatisme de la nuque avec un choc direct sur le vertex, ayant provoqué une plaie, mais aussi une grave fracture de D2, une fracture des lames latérales de C7 avec des lésions ligamentaires C6-C7, C7-D1, et une fracture du plateau supérieur de D4. Elle a précisé que le phénomène du choc décrit ne correspondait pas typiquement à un whiplash, avec phénomène d’accélération-décélération, mais plutôt à un violent choc par impaction transmis du vertex à la partie haute du rachis dont le plus haut niveau d’énergie avait atteint l’étage D2. Elle a relevé qu’il s’agissait de lésions très graves ayant mis en jeu son pronostic vital et que dans un tel cas, « il est rare que l’on s’en sorte et si l’on s’en sort, il est rare que l’on s’en sorte sans grave déficit neurologique ». L’experte a également diagnostiqué un syndrome d’hyperlaxité de forme incomplète et une lésion postopératoire du nerf laryngé avec dysphonie et stridor occasionnels. Il ressort des pièces au dossier que l’atteinte à la santé dont souffre la demanderesse n'a ainsi pas été influencée par un état préexistant, mais est dû exclusivement à l'accident. En outre, elle n'a pas subi de problèmes de santé qui n'étaient pas liés à l'accident. Il ne fait pas de doute que cet événement est en relation de causalité naturelle et adéquate avec les problèmes médicaux dont souffre la demanderesse et l'invalidité qui en résulte. Sans cet accident, la demanderesse n'aurait en effet pas été atteinte dans sa santé, ni dans sa capacité de travailler. Les conséquences résultant de l'accident ne seraient dès lors pas survenues indépendamment du comportement du défendeur. En outre, il n'y a pas eu, dans la chaîne causale, que ce soit individuellement ou dans leur cumul, d'autres circonstances à ce point exceptionnelles par rapport au fait dont aurait dû répondre le défendeur, qui auraient interrompu le lien de causalité entre l'accident et l'incapacité de la demanderesse. Les défendeurs ne l’allèguent d’ailleurs pas. Le défendeur est ainsi entièrement responsable de l’accident du 18 octobre 1997 dont les conséquences ont directement affecté la demanderesse dans sa santé. Quant à la défenderesse, sa qualité d'assurance responsabilité civile du conducteur du véhicule impliqué n’est pas contestée. bb) S'agissant de l'invalidité de la demanderesse, il ressort de l'expertise médicale judiciaire du 23 mars 2012 que le traumatisme subi du fait de l’accident du 18 octobre 1997 a pour conséquence que la demanderesse se retrouve atteinte dans sa santé de façon permanente et que les séquelles apparaissent sous forme de douleurs chroniques justifiant une réduction de son taux d’activité. Quant à l’expertise médicale judiciaire du 20 avril 2014, elle relève que les atteintes endurées par la demanderesse aux plans neurologiques (signe de Lhermitte engendrant une souffrance médullaire lors de certains mouvements de la nuque ; signes neurologiques irradiant dans les dermatomes C7 ainsi que C8) et rhumatologiques (lésions arthosiques de la nuque en-dessus des étages spondylodésés et des discopathies mises en évidence) ont une répercussion sur la capacité de travail de cette dernière. Il existe dès lors bien un rapport de causalité naturelle et adéquate entre l'accident du 18 octobre 1997 et l'incapacité de la demanderesse. Cette dernière peut dès lors, sur le principe, faire valoir des prétentions en réparation du dommage subi. VII. a) La demanderesse réclame la réparation de la perte de gain subie de par son invalidité causée à la suite de l'accident du 18 octobre 1997. b) Aux termes de l'art. 62 al. 1 LCR, le mode et l'étendue de la réparation sont régis par les principes du Code des obligations concernant les actes illicites, soit les art. 45 et 46 CO (Brehm, RC, op. cit., n. 212).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JdT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consid.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JdT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JdT 2005 I 502; ATF 129 III 135 consid. 2.2, JdT 2003 I 511). Les tribunaux se montrent toutefois généralement prudents s'agissant d'admettre l'existence de telles variations salariales. Il y a en effet trop d'inconnues et d'impondérables pour permettre une estimation suffisante (ATF 129 III 135 consid. 2.2, JdT 2003 I 511). Si certains auteurs préconisent de tabler sur une augmentation générale des salaires de 1% en moyenne par an et de tenir compte, en sus, de l’évolution individuelle du revenu, ils rappellent en même temps que, pour les personnes d’un certain âge, on ne doit plus s’attendre à de grandes modifications du salaire, les bas salaires atteignant leur niveau maximum avant l’âge de 50 ans (ATF 129 III 135 consid. 2.2 et 2.3.2.1, JdT 2003 I 511 et les références citées). Ce principe n'est autre que la concrétisation de la règle selon laquelle la preuve du dommage incombe en principe au lésé et celle d'éléments susceptibles de justifier une réduction des dommages-intérêts au responsable (art. 42 al. 1 CO et 8 CC). A teneur de l'art. 42 al.</w:t>
      </w:r>
    </w:p>
    <w:p>
      <w:r>
        <w:rPr>
          <w:b/>
        </w:rPr>
        <w:t>E. 2</w:t>
      </w:r>
    </w:p>
    <w:p>
      <w:r>
        <w:t>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rés. in JdT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Cette disposition est applicable à la fixation du dommage en matière de circulation routière (Brehm, RC, op. cit., nn. 16 ss et les références citées). De plus, selon l'art. 243 CPC-VD,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consid. 5.4.2, JdT 2005 I 95; Bosshard, L'appréciation de l'expertise judiciaire par le juge, RSPC 2007, pp. 321 ss, spéc. p. 325 et les références citées). Par ailleurs, dans l'hypothèse où le juge est confronté à plusieurs expertises judiciaires et se rallie aux conclusions de l'une d'elles, il est tenu de motiver son choix (Bosshard, op. cit., p. 325 et la jurisprudence citée) . c) En l'espèce, selon l'expertise médicale judiciaire du 23 mars 2012, au vu du degré important d’incapacité fonctionnelle de la demanderesse, de ses performances et des douleurs ressenties, son incapacité de travail est de 80%. L’expert [...] a constaté que les mouvements observés par le détective étaient compatibles avec l’examen clinique effectué. Il a relevé qu’on ne pouvait pas juger la capacité à exercer une activité professionnelle d’un patient en le filmant pendant un ou deux jours à son insu et qu’une journée récréative passée dans le cadre d’une activité qui constituait sa passion ne pouvait pas renseigner sur ses symptômes subjectifs. Il a en revanche admis que l’évaluation de la capacité de travail est un processus extrêmement complexe qui garde malgré tout un degré d’incertitude quant à l’exactitude de l’évaluation. Selon l’expertise médicale judiciaire du 20 avril 2014, dans un travail totalement adapté et ergonomique, la capacité de travail de la demanderesse peut être envisagée théoriquement à 100%, dont il faut retenir 20% de baisse de rendement pour lui permettre des périodes de repos et d’entretien de son appareil locomoteur (exercices de tonification, de relaxation), alors que dans son travail actuel, l’exigibilité est de 50%, qu’elle est de 70% dans son travail comme juge pour les championnats de ski nautique, de 40% en tant qu’entraîneur de sportifs d’élite, de 100% avec baisse de rendement de 20% comme présidente d’associations diverses, de 70% en tant qu’enseignante dans le domaine de la photographie, de 100% avec baisse de rendement de 20% comme galeriste et qu’il n’existe aucune capacité de travail en tant que photographe sur le terrain. L’experte [...] a pris en compte l’ensemble des activités professionnelles et sportives de la demanderesse, ainsi que toutes les appréciations effectuées par les médecins qui ont examiné cette patiente. Elle en a déduit qu’il existait certaines discordances dans l’évolution de la demanderesse et que l’exercice de toutes ses activités de loisirs exigeant un haut niveau de compétences dénonçait au plan médical un capital d’aptitudes fonctionnelles qui auraient pu être mieux exploitées sur le plan de la capacité professionnelle. Selon elle, il est en effet discordant que la demanderesse puisse voyager de manière autonome en tant que juge européenne pour un sport, qu’elle ait suivi la formation amenant à enseigner-juger des sportifs d’élite en 2003-2004 tout en suivant une autre formation aux Beaux-Arts, qu’elle puisse conduire un bateau sur le lac (même si cela se fait par temps calme), se déplacer sur le bateau, ranger le matériel, le bâcher, et se mouvoir ensuite au bord du lac sans difficulté évidente, sautiller, pouvoir enjamber et sauter d’un muret avec une parfaite aisance, mais, en même temps, qu’elle ne travaille qu’à un taux de 20 % correspondant à une activité occupationnelle et qu’elle ait obtenu un droit de facilité de stationnement pour personnes à mobilité réduite. S’agissant de ce dernier point, l’experte a précisé que la demanderesse a reconnu que le diagnostic d’une mobilité réduite dans le sens des critères selon le service des automobiles et de la navigation routière n’avait jamais été donné. Si l’experte a admis que les sportifs d’élite génèrent par leur motivation des progrès considérables dans la gestion du handicap, que l’accident présentait une gravité certaine, que l’évolution de la demanderesse est rare, que le type de pathologie subi peut entraîner des états douloureux irréductibles et que la patiente décrit des douleurs résiduelles compréhensibles médicalement, elle a toutefois relevé que les limitations diagnostiquées par les médecins jusqu’alors étaient vraisemblablement en-dessous des aptitudes résiduelles de la demanderesse qui sont bien supérieures et que cela justifiait son appréciation d’une capacité de travail de 100% avec une baisse de rendement de 20%. L’experte a toutefois retenu les limitations fonctionnelles suivantes : le travail en position fixe de la tête en permanence, le travail nécessitant des mouvements brusques ou des mouvements extrêmes de la nuque ou des Valsalva, la position sur des sols instables, le travail en hauteur ou en zone basse, les charges de plus de 2 à 3 kg et les activités nécessitant des mouvements d’abduction des épaules ainsi que des compensations musculaires de la ceinture scapulaire. Il ressort des pièces au dossier que les médecins qui ont suivi la demanderesse dès le jour de l’accident et qui ont estimé son incapacité de travail à différents taux (50% selon le Dr G.________ en 2000, 80% selon le Dr [...] en 2003, 80% selon le Dr [...] en 2006 notamment) n’avaient pas toutes les informations entre leurs mains afin d’évaluer l’évolution de son état de santé en toute connaissance de cause. En effet, leurs examens n’ont pas pris en compte les nombreuses activités, notamment de loisirs, qu’elle a développées depuis 2003 au moins. S’agissant de l’expertise judiciaire du Dr [...], ce médecin a admis qu’il était difficile de déterminer la capacité de travail de la demanderesse (« il est déjà difficile d’évaluer de façon ponctuelle cette incapacité fonctionnelle », « on ne peut malheureusement pas répondre de façon précise et scientifique à cette question », « là aussi il est difficile de répondre de façon très scientifique aux questions posées ») et qu’il s’est reposé sur les plaintes subjectives de cette dernière ainsi que sur le bilan de l’ergothérapeute qui l’a estimée à 20% (« la seule façon d’y répondre serait de regarder le rapport de l’ergothérapie », « là aussi, les différentes limitations fonctionnelles sont énumérées dans le rapport des ergothérapeutes »). Tout au plus, le Dr [...] a-t-il affirmé à plusieurs reprises que les images filmées produites au dossier n’étaient pas suffisantes pour « donner des informations précises quant au niveau des douleurs ressenties » par la patiente, qu’il ne pensait pas qu’elles « puissent remettre en doute les constatations du Dr [...] » et qu’un « DVD ne saurait pas nous informer sur la gêne ou la douleur qu’un patient puisse éprouver surtout s’il s’agit de douleurs chroniques ». Or, il a ainsi laissé subsister des incertitudes sur des points essentiels qu’il devait examiner dans le cadre de son mandat. En outre, non seulement ses arguments ne suffisent pas à convaincre que le taux de capacité de travail de la demanderesse est de 20% au vu de l’état de fait, mais il ressort du rapport de l’ergothérapeute que celui-ci a repris les limitations listées par l’experte [...] (port de charge, positions statiques prolongées, longs déplacements et accès en zone basse ou haute) et n’a pas établi que d’autres limitations fonctionnelles justifieraient un taux d’activité plus bas que celui qui a été retenu par cette dernière. Ces éléments sont confirmés par les dires de la demanderesse elle-même, qui, le 9 octobre 2008, déclarait au juge d'instruction qu'elle pouvait "à peu près tout faire", notamment s'agissant du ménage, et qu'elle conduisait normalement sa voiture. Cela a également été constaté le 9 avril 2014 par le Dr [...], expert nommé dans le cadre de la procédure ouverte devant la Chambre des assurances sociales du Tribunal cantonal [...], qui a déclaré que la capacité de travail de la demanderesse était entière à condition de respecter les limitations fonctionnelles relevées et une alternance de positions. Le Tribunal fédéral, qui s’est prononcé le 23 février 2018 sur le recours déposé par la demanderesse à l’encontre de l’Office de l’assurance-invalidité du Canton de [...], a retenu un taux d’occupation de 80% exigible de la part de cette dernière, soit un taux de 100% avec une baisse de rendement de 20%. Il résulte de l'ensemble de ce qui précède que la capacité de gain de la demanderesse est de 50%. En effet, alors que la demanderesse a établi à satisfaction qu’elle ne pouvait pas travailler à plus de 50% dans son poste actuel, les défendeurs n’ont pas démontré qu’un poste entièrement adapté à ses séquelles existait ailleurs, ni s’il lui permettrait d’obtenir une rémunération plus élevée que ce qu’elle perçoit aujourd’hui. La cour de céans n’est en outre pas liée par le taux retenu par le Tribunal fédéral dans son arrêt rendu le 23 février 2018, dès lors que cette autorité statuait dans le cadre du droit des assurances sociales et qu’elle s’est basée sur les statistiques de l’ESS 2008, désormais dépassées. Il convient de tenir compte de cette capacité de travail à 50% depuis le 1 er janvier 2014, l’expertise de la Dresse [...] n’ayant pas permis d’établir le moment précis à partir duquel la demanderesse a été capable de travailler à ce taux. Il s’agit d'examiner quels sont les effets de cette incapacité de travail sur la capacité de gain de la demanderesse. aa) Pour apprécier la perte de gain de la demanderesse, il s'agit d'établir premièrement les revenus auxquels celle-ci aurait pu prétendre sans la survenance de l'accident. A cette fin, on se fondera sur les revenus qu'elle tirait de son activité avant l'accident du 18 octobre 1997. Pour déterminer les conséquences pécuniaires de l'incapacité de travail, il convient ensuite de déduire du revenu hypothétique qui aurait pu être réalisé sans l'invalidité, le revenu d'invalide qui a été ou qui aurait raisonnablement pu être réalisé après l'accident. ab) Avant l'accident, la demanderesse, dont il n'est pas établi qu'elle soit au bénéfice d'une formation professionnelle particulière, exerçait une activité de forwarder au sein de la société [...]. Elle percevait un salaire annuel brut de base de 70'200 fr., soit 76'050 fr. avec le treizième salaire. La demanderesse prétend que, sans l'évènement du 18 octobre 1997, elle aurait pu progresser dans la hiérarchie, occuper le statut de superviseur d'un groupe, percevoir un salaire annuel se situant aux alentours de 160'000 fr. selon l'échelle des salaires de la société et une participation discrétionnaire aux résultats de l'entreprise à hauteur de 20% du salaire annuel perçu. Or, dans son arrêt du 23 février 2018, le Tribunal fédéral a relevé qu'on ne saurait se fonder sur l'éventualité incertaine d'une promotion pour arrêter le revenu sans invalidité. Il convient donc d’estimer le revenu annuel net moyen de la demanderesse en se basant sur les montants qu’elle a perçus avant l’accident (76'050 fr. brut à plein temps, soit 67'684 fr. 50 net) et le dernier salaire allégué, soit 28'556 fr. net obtenu en 2018 à un taux de 20%, ce qui correspond à 142'780 fr. net à temps plein et 160’426 fr. 95 brut. Il est ainsi retenu que le revenu de valide que la demanderesse aurait vraisemblablement perçu, sans la survenance de l'accident, peut être arrêté à 105’232 fr. 25 net par année (67'684 fr. 50 + 142'780 fr. : 2), soit 118'238 fr. 50 brut. ac) S'agissant de la période du 18 octobre 1997 au 30 novembre 2020, la demanderesse aurait donc perçu, sans atteinte à sa santé, un revenu total net de 2'433’495 fr. 60 (4’384 fr. 65 [ = 2 semaines (105’232 fr. 25 divisés par 12 mois = 8'769 fr. 35, divisé par 2 semaines)] + 17’538 fr. 70 [8’769 fr. 35 x 2 mois] + 2'315’109 fr. 50 [105’232 fr. 25 x 22 ans] + 96'462 fr. 85 [8’769 fr. 35 x 11 mois]). Or, il ressort de l'instruction que la demanderesse a touché, pendant cette même période, un montant total de 3'090'735 fr. 10 selon le décompte suivant : 427'051 fr. 70 net de [...] (23'400 fr. (1997) + 79'716 fr. (1998) +72'018 fr. (1999) + 68'916 fr. 75 (2000) + 48'509 fr. 25 (2001) + 45'512 fr. 15 (2002) + 40'770 fr. 05 (2003) + 25'980 fr. 15 (2004) + 21'024 fr. (2005) + 20'881 fr. (2006) + 13'812 fr. 75 (2007) = 460'540 fr. 10 brut – 11% = 409'880 fr. 70 net + 17'171 fr. net obtenu en 2014 = 427'051 fr. 70) + 366’560 fr. 35 net d’[...] (3'855 fr. (2007) + 20'232 fr. (2008) + 22'637 fr. (2009) + 21'303 fr. (2010) + 27'844 fr. (2011) + 23'553 fr. (2012) + 29'397 fr. (2013) + 8'837 fr. (2014) + 43'225 fr. (2015) + 40'992 fr. (2016) + 41'397 fr. (2017) + 28'556 fr. (2018) + 28'556 fr. (2019) + 28'556 fr. (2020) – 2'379 fr. 65 + 987'264 fr. 90 de l’assurance-accident (532'257 fr. 57 (versés jusqu’au 20 novembre 2006) + 4'177 fr. (2006) + 51'216 fr. (4'268 fr. x 12 mois en 2007) + 21'340 fr. (4'268 fr. x 5 mois en 2008) + 17'049 fr. 20 (2'435 fr. 60 x 7 mois en 2008) + 333'438 fr. 60 ((2'526 fr. 05 x 12 mois) x 11 ans, soit entre 2009 et 2019) + 27'786 fr. 55 (2'526 fr. 05 x 11 mois en 2020)) + 656’261 fr. de l’assurance-invalidité (539'615 fr. (versés jusqu’au 31 août 2006) + 7'156 fr. (1'789 fr. x 4 mois en 2006) + 22'068 fr. (1'839 fr. x 12 mois en 2007) + 16'551 fr. (1'839 fr. x 9 mois en 2008) + 1'380 fr. (460 fr. x 3 mois en 2008) + 5'700 fr. (475 fr. x 12 mois en 2009) + 5'700 fr. (475 fr. x 12 mois en 2010) + 5'796 fr. (483 fr. x 12 mois en 2011) + 5'796 fr. (483 fr. x 12 mois en 2012) + 5'844 fr. (487 fr. x 12 mois en 2013) + 5'844 fr. (487 fr. x 12 mois en 2014) + 5'868 fr. (489 fr. x 12 mois en 2015) + 5'868 fr. (489 fr. x 12 mois en 2016) + 5'868 fr. (489 fr. x 12 mois en 2017) + 5'868 fr. (489 fr. x 12 mois en 2018) + 5'916 fr. (493 fr. x 12 mois en 2019) + 5'423 fr. (493 fr. x 11 mois en 2020)) + 483'225 fr. 20 de la fondation de prévoyance du personnel des sociétés [...] (76'050 fr. versés le 31 mai 2000 + 84'067 fr. versés le 12 janvier 2004 + 275'038 fr. 20 versés du 1 er octobre 2008 au 31 décembre 2018 + 25'080 fr. (2’090 fr. x 12 mois en 2019) + 22'990 fr. (2'090 fr. x 11 mois en 2020)) + 170'372 fr. de la Caisse interprofessionnelle AVS), qu'il convient de déduire du revenu arrêté à 2'433’495 fr. 60, en vertu du principe général de l'interdiction de l'enrichissement applicable en droit de la responsabilité civile. Il n’y a en revanche pas lieu d’imputer sur ce revenu l’IPAI allouée, dès lors qu’il ne s’agit pas d’une prestation ayant la même nature et la même fonction que l'indemnisation civile correspondante (Frésard-Fellay, La concordance des droits à l'épreuve, in Journées du droit de la circulation routière 2008, pp. 91 ss, spéc. pp. 91 et 93, et la jurisprudence citée; ATF 126 III 41 consid. 1, JdT 2000 I 367). En d'autres termes, l’IPAI n'a pas pour but de compenser la perte de gain du lésé et ne doit donc pas être portée en déduction de celle-ci. La question de son imputation pourra néanmoins se poser lors de l’examen du poste relatif au tort moral. En outre, étant apte à exercer une activité adaptée à raison de 50% dès le 1 er janvier 2014, il convient de tenir compte du fait que, dès cette date, elle aurait pu percevoir 50% du montant annuel net de 105'232 fr. 25, soit 52'616 fr. 13, ce qui correspond à 4'384 fr. 70 par mois. Entre le 1 er janvier 2014 et le 30 novembre 2020, elle aurait ainsi pu obtenir un montant de 363'928 fr. 25 (315'696 fr. 75 [ 52'616 fr. 13 x</w:t>
      </w:r>
    </w:p>
    <w:p>
      <w:r>
        <w:rPr>
          <w:b/>
        </w:rPr>
        <w:t>E. 6</w:t>
      </w:r>
    </w:p>
    <w:p>
      <w:r>
        <w:t>ans] + 48'231 fr. 45 [ 4'384 fr. 67 x 11 mois]). En définitive, il s'agit de déduire du revenu sans invalidité qui aurait été réalisé par la demanderesse au jour du jugement, soit 2'433’495 fr. 60, un montant de 3'090'735 fr. 10 à titre de prestations versées par les assureurs - réduit de 220'119 fr. représentant son activité chez [...] entre 2014 et 2020 -, ainsi qu'un montant de 363'928 fr. 25 à titre de revenu qu'elle était apte à réaliser à 50% dès le 1 er janvier 2014. La demanderesse ne subit donc aucune perte de gain passée. Au contraire, elle a même été surindemnisée à hauteur de 801'048 fr. 75. ad) S'agissant de la perte de gain future de la demanderesse, il convient de capitaliser le salaire annuel net que la lésée aurait touché sans invalidité au jour du jugement et d'en déduire la valeur capitalisée des rentes allouées par les institutions sociales que l'intéressée percevra pour la période correspondante ainsi que le revenu exigible de sa part également capitalisé. Selon la jurisprudence constante du Tribunal fédéral, la capitalisation s'effectue, pour l’atteinte à l’avenir économique, selon un taux de capitalisation de 3,5 % (ATF 125 III 312 consid. 7; TF 4A_543/2015 et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TF 4A_665/2011 du 2 février 2012 consid. 3.2, in SJ 2012 I p. 423), soit 64 ans pour une femme (art. 21 al. 1 let. b LAVS [loi fédérale sur l'assurance-vieillesse et survivants du 20 décembre 1946; RS 831.10]). Il n’y a pas lieu de tabler de façon générale, pour le futur, sur une augmentation réelle des revenus, que ce soit sous la forme d’une réduction du taux de capitalisation de 1%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TF 4C.415/2006 consid. 4.4.4; ATF 125 III 312 consid. 5, JdT 2000 I 374). Il convient en revanche de tenir compte du renchérissement futur, celui-ci étant toutefois entièrement compensé par le taux de capitalisation de 3,5% (ATF 125 III 317 précité). Ainsi, pour la capitalisation des gains futurs de la demanderesse, il y a lieu de se fonder sur un revenu sans invalidité au jour du présent jugement de 142'780 fr. net par an, arrêté conformément aux considérations qui précèdent. On capitalisera ce salaire annuel net en appliquant un facteur de capitalisation de 9.62, tel qu'il découle de la table de capitalisation A3y ("rente temporaire d'activité jusqu'à l'âge de 64 ans") des tables et programmes de capitalisation de Stauffer/Schaetzle/Weber ( cf. Stauffer/Schaetzle/Weber, Tables et programmes de capitalisation, 6 e éd., Zurich – Bâle – Genève 2013 ), au vu de l'âge de la demanderesse au jour du présent jugement et du taux de capitalisation de 3,5% applicable selon la jurisprudence constante du Tribunal fédéral. Cela étant, en multipliant le revenu annuel déterminant de 142'780 fr. par le facteur de 9.62 retenu ci-dessus, l'on obtient un revenu futur sans invalidité jusqu'à l'âge de la retraite de la demanderesse d'un montant de 1'373'543 fr. 60. Aux fins de déterminer l’éventuelle perte de gain future, il convient d'imputer sur ce dernier revenu les prestations des assureurs que la demanderesse percevra depuis la date du présent jugement, soit 589’788 fr. 75 ([30’312 fr. 60 (2'526 fr. x 12 mois = rente LAA) + 5'916 fr. (493 fr. x 12 mois = rente LAI) + 25'080 fr. (2'090 fr. x 12 mois = rente LPP)], soit 61'308 fr. 60 par an, capitalisés à 9.62), ainsi que le salaire exigible durant la même période, soit 686'771 fr. 80 (71'390 fr. par année x 9.62). La demanderesse subit donc une perte de gain future de 96'983 fr. 05. ae) Le tiers civilement responsable répond de la réduction future des prestations que les assurances sociales accorderont au lésé.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précité consid. 3). Pour déterminer le dommage de rente direct, il convient de comparer les rentes d'invalidité et de vieillesse qui seront versées par les assurances sociales (AVS, LAA, LPP) avec les prestations de vieillesse que le lésé toucheraient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déterminante (pour le tout cf. TF 4C.197/2001 précité consid. 4b et les références citées). Afin de déterminer le montant des prestations de vieillesse que la demanderesse obtiendraient sans l'accident, il convient de multiplier le revenu annuel brut hypothétique de la demanderesse à 65% (160'426 fr. 95 x 65%, soit 104’277 fr. 50) par le facteur de capitalisation de 10.85, tel qu'il découle de la table de capitalisation M4y ("rente viagère différée dès l'âge de 64 ans - femmes") des tables et programmes de capitalisation de Stauffer/Schaetzle/Weber ( cf. Stauffer/Schaetzle/Weber, op. cit. ). Ces prestations de vieillesse s'élèveraient ainsi à 1'131'411 fr. 05. En l'occurrence, avec une activité exigible de 50%, elles s'élèveraient à 565’705 fr. 55 (93'446 fr. 25 brut ([160'426 fr. 95 x 50%] x 65% = 52'138 fr. 75, multiplié par 10.85) plus 328'891 fr. 70 (30'312 fr. 60 [= 2'526 fr. 05 x 12 mois = rente LAA], multiplié par 10.85), plus 64'188 fr. 60 (5'916 fr. [= 493 fr. x 12 mois = rente LAI], multiplié par 10.85), plus 272'118 fr. (25’080 fr. [= 2’090 fr. x 12 mois = rente LPP], multiplié par 10.85), soit 1'230'903 fr. 85. La demanderesse ne subit donc aucune perte sur ses rentes vieillesse futures. VIII. a)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JdT 2006 I 447; ATF 131 III 360 consid. 8.1, JdT 2005 I 502 et les arrêts cités).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consid. 3.1, JdT 2006 I 447).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consid. 5.1). Il s’agit donc de procéder à une évaluation concrète de l’invalidité (Werro, Le dommage ménager: notion et calcul, in Le préjudice corporel: bilan et perspectives, 2009, pp. 26 ss).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4A_98/2008 du 8 mai 2008 et les références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consid. 4.2.1, JdT 2003 I 511). b) En l'espèce, il ressort de l’expertise médicale du Dr [...] que la demanderesse est limitée pour les activités incluant du port de charge ainsi pour des accès en zone basse ou haute. Toutefois, là encore, cet expert estime qu’il « est difficile de répondre de façon très scientifique aux questions posées », que « la seule façon d’y répondre serait de regarder le rapport de l’ergothérapie », et il ne pense pas « que l’on puisse admettre que la capacité ménagère puisse être supérieure à sa capacité professionnelle », qu’il peut donc « imaginer que toutes les activités ménagères (repassage, aspirateur, rangements etc…) puissent être atteintes ». Les réponses de l’expert sont donc vagues et imprécises. Quant aux différents médecins qui ont suivi la demanderesse après l’accident et qui ont indiqué qu’une aide-ménagère était nécessaire, non seulement leur avis date de nombreuses années, mais en plus on a déjà relevé qu’ils n’avaient pas connaissance de l’entier des circonstances de l’affaire et qu’ils s’étaient entièrement basés sur les plaintes subjectives de leur patiente. Quant à l’experte médicale [...], dont l’avis est le plus récent et qui a pris en compte toutes les activités de la demanderesse, elle a préconisé à cette dernière d’éviter les sols instables, le travail en zone basse et haute, les charges de plus de deux à trois kilogrammes, ainsi que les activités nécessitant des mouvements d’abduction des épaules demandant des compensations musculaires de la ceinture scapulaire. Toutefois, l’experte a relevé que l’observation de la gestuelle de la demanderesse en 2007, confirmée lors de l’expertise, ne permettait plus, médicalement, de retenir l’indication à une aide-ménagère, la patiente ayant une parfaite maîtrise afin de tenir debout sur une surface instable, de lever les bras, de ranger en zone basse du matériel, ainsi que d’effectuer des gestes plus délétères et plus brusques tels que sauter d’un muret, plonger, porter un carton de bon volume, bras écartés. Elle a donc constaté que la demanderesse pouvait tenir sans problème son ménage avec un suivi de l’évolution de la situation. Il convient de relever que le 9 octobre 2008 déjà, la demanderesse a déclaré qu'elle pouvait "à peu près tout faire" notamment s'agissant du ménage. Cela a été confirmé le 9 avril 2014 par le Dr [...] qui a déclaré qu'il n'existait pas de limitations fonctionnelles spécifiques concernant les activités ménagères. Les prétentions de la demanderesse au titre de préjudice ménager actuel et futur doivent donc être rejetées. IX. a) L'art. 46 CO permet à la victime d'obtenir le remboursement de ses frais d'avocat (Werro, in Thévenoz/Werro (éd.), Commentaire romand, CO I,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 b) En l’espèce, le montant réclamé par la demanderesse au titre des démarches entreprises par son conseil concerne non seulement des opérations hors procès, mais également des opérations en relation avec la rédaction de l’écriture de demande devant l’autorité de céans, dont l’indemnisation fait partie des dépens. Il ressort en outre que si la demande date du 17 octobre 2007, sa rédaction a commencé à tout le moins le 4 avril 2005 et que de nombreuses opérations notamment de préparation ou de correction du calcul, ainsi que de relecture, sans compter les contacts avec la cliente relatifs à ces opérations, sont disséminées dans la liste des démarches entreprises sans qu’il soit possible de distinguer celles qui pourraient faire l’objet d’un remboursement au sens de l’art. 46 CO de celles qui devraient faire l’objet des dépens. En outre, de nombreuses opérations décrivent des démarches effectuées auprès des assurances sociales notamment et ne concernent donc pas le litige divisant les parties à la présente procédure. Au surplus, il convient de relever que la défenderesse a versé un montant de 36'895 fr. au conseil de la demanderesse entre le 28 septembre 2000 et le 22 février 2006, montant dont la demanderesse ne tient pas compte dans le cadre de sa prétention. Faute de preuve, aucun montant n’est dû à la demanderesse au titre de remboursement pour ses frais d’avocats et de procédure avant procès. X. a) La demanderesse conclut à l'allocation d'une indemnité pour le tort moral qu'elle a subi à la suite de l'accident du 18 octobre 1997.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RC, op. cit., n. 140;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141).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consid. 7.3;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TF 4A_423/2008 du 12 novembre 2008 consid. 2.1). Dans un deuxième temps, le montant objectif ainsi fixé sera modulé à l'aune des circonstances concrètes du cas d'espèce (ATF 132 II 117 consid. 2.2.3; TF 4A_423/2008 du 12 novembre 2008 consid. 2.1; TF 4C.263/2006 du 17 janvier 2006 consid. 7.3;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ATF 123 III 306 consid. 9b, rés. in JdT 1998 I 27; ATF 121 II 369 consid. 6c, JdT 1997 IV 82; ATF 108 II 422 consid. 5, JdT 1983 I 104; TF 4A_373/2007 du 8 janvier 2008 consid. 3.3; TF 4C.103/2002 du 16 juillet 2002 consid. 5).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montants dépassant 50'000 fr. n’ont été accordés que si le lésé est devenu totalement invalide (TF 4A_463/2008 du 20 avril 2010).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c) En l'espèce, l'accident qui a eu lieu il y a vingt-trois ans a eu pour conséquence des lésions très graves qui ont mis en jeu le pronostic vital de la demanderesse. Celle-ci a dû subir deux opérations chirurgicales dont il subsiste des séquelles sous la forme de douleurs chroniques qui résistent à tout traitement et sous la forme de cicatrices. Elle n’a toutefois pas développé de symptomatologie dépressive et a plutôt démontré une motivation ainsi qu’une force de caractère qui ont surpris le corps médical devant l’évolution rare de son état de santé. Du point de vue de son activité professionnelle, elle est apte à travailler à un taux de 80% depuis au moins sept ans. Si elle a dû renoncer à sa pratique du ski nautique, ainsi qu’à d’autres sports, elle s’est engagée très rapidement après l’accident (dès 2003 à tout le moins) dans d’autres activités de loisirs (membre du jury lors de compétitions internationales de ski nautique, membre de la Fédération suisse de ski nautique et de wakeboard, présidente de l’Association [...] de ski nautique et wakeboard, présidente de la Commission relève de la Fédération suisse de ski nautique et wakeboard, présidente de la Commission presse de la Fédération suisse de ski nautique et wakeboard, membre de la Commission futur de la Fédération suisse de ski nautique et wakeboard, membre du conseil technique ski classique de la Fédération suisse de ski nautique et wakeboard, invitée permanente au Comité de la section ski du Club nautique de [...] en qualité de représentante ski nautique [...] et de responsable compétition ski classique, capitaine de l'équipe suisse de ski nautique, membre de la Fédération EAME (Europe Africa Middle-East) et responsable du Football Club [...] International) et a entrepris deux formations en parallèle (brevet d’entraîneur de sportifs d’élite et diplôme de Beaux-Arts). Il n’est pas établi qu’elle avait le souhait de devenir mère et qu’elle a ainsi dû renoncer à ce projet du fait de l’accident. Au vu des éléments qui précèdent, il apparaît équitable d'allouer à la demanderesse une indemnité pour tort moral d'un montant de 20'000 francs. Toutefois, une indemnité pour atteinte à l'intégrité lui a été allouée par l’assurance-accident à hauteur de 34’020 francs. Il convient de retenir également que la demanderesse se trouve dans une situation de surindemnisation et que la défenderesse lui a versé un montant de 77'507 fr. 10 au total à différents titres entre 2000 et 2006, dont cette dernière ne réclame pas le remboursement. Aucun montant n’est donc dû à la demanderesse à ce titre. XI. En définitive, il résulte des calculs développés sous considérant VII. que la demanderesse aurait droit à un montant de 96'983 fr. 05 correspondant à sa perte de gain future. Or, il s’avère qu’elle a été surindemnisée à hauteur de 801'048 fr. 75. Aucun montant ne lui est donc octroyé. XII .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b) En l’espèce, obtenant entièrement gain de cause, les défendeurs, solidairement entre eux, ont droit à des dépens à hauteur de 78'419 fr. 55 ,savoir : a) 50’000 fr. à titre de participation aux honoraires de leur conseil; b) 2’500 fr. pour les débours de celui‑ci; c) 25'919 fr. 55 en remboursement de leur coupon de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