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326 vom 20. November 2018</w:t>
      </w:r>
    </w:p>
    <w:p>
      <w:r>
        <w:t>VD Tribunal cantonal, 2018-11-20, FR</w:t>
      </w:r>
    </w:p>
    <w:p>
      <w:r>
        <w:rPr>
          <w:b/>
        </w:rPr>
        <w:t xml:space="preserve">Quelle: </w:t>
      </w:r>
      <w:r>
        <w:t>https://mcp.opencaselaw.ch/entscheid/vd_findinfo_Jug___2019___326</w:t>
      </w:r>
    </w:p>
    <w:p>
      <w:r>
        <w:t>FR: VD_FINDINFO Jug / 2019 / 326 du 20 novembre 2018</w:t>
      </w:r>
    </w:p>
    <w:p>
      <w:r>
        <w:t>IT: VD_FINDINFO Jug / 2019 / 326 del 20 novembre 2018</w:t>
      </w:r>
    </w:p>
    <w:p>
      <w:pPr>
        <w:pStyle w:val="Heading2"/>
      </w:pPr>
      <w:r>
        <w:t>Regeste</w:t>
      </w:r>
    </w:p>
    <w:p>
      <w:r>
        <w:t>CYCLOMOTEUR, TRIBUNAL FÉDÉRAL, DÉCISION DE RENVOI, FIXATION DE LA PEINE, CONTRAVENTION, VIOLATION DU DROIT, CONCOURS D'INFRACTIONS | 106 CP, 47 CP, 49 al. 2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2</w:t>
      </w:r>
    </w:p>
    <w:p>
      <w:r>
        <w:t>Au vu des considérants de l’arrêt du Tribunal fédéral du 18 juin 2019, J.________ doit être condamné pour conduite en état d'ébriété qualifiée au sens de l'art. 91 al. 2 let. a LCR, pour conduite malgré un retrait de permis au sens de l'art. 95 al. 1 let. b LCR et pour usage abusif de plaques au sens de l'art. 97 al. 1 let. a LCR. En revanche, il ne saurait être condamné pour circulation sans permis de circulation ou plaques de contrôle en application de l'art. 96 al. 1 let. a LCR et pour circulation sans assurance-responsabilité civile en application de l'art. 96 al. 2 LCR, ces infractions, pour les cyclomoteurs, des contraventions appréhendées par l'art. 145 ch. 3 et 4 OAC, qui doivent être sanctionnées d'une amende.</w:t>
      </w:r>
    </w:p>
    <w:p>
      <w:r>
        <w:rPr>
          <w:b/>
        </w:rPr>
        <w:t>E. 3</w:t>
      </w:r>
    </w:p>
    <w:p>
      <w:r>
        <w:t>Il appartient par conséquent à la Cour d’appel de fixer une nouvelle peine à J.________.</w:t>
      </w:r>
    </w:p>
    <w:p>
      <w:r>
        <w:rPr>
          <w:b/>
        </w:rPr>
        <w:t>E. 3.1.1</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3.1.2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265 consid. 2.3.3 ; ATF 142 IV 329 consid. 1.4.1).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w:t>
      </w:r>
    </w:p>
    <w:p>
      <w:r>
        <w:rPr>
          <w:b/>
        </w:rPr>
        <w:t>E. 3.1.3</w:t>
      </w:r>
    </w:p>
    <w:p>
      <w:r>
        <w:t>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w:t>
      </w:r>
    </w:p>
    <w:p>
      <w:r>
        <w:rPr>
          <w:b/>
        </w:rPr>
        <w:t>E. 3.2</w:t>
      </w:r>
    </w:p>
    <w:p>
      <w:r>
        <w:t>Dans son jugement du 18 février 2019, la Cour de céans avait prononcé une amende de 300 fr. pour sanctionner la conduite du cyclomoteur sans plaques de contrôle, qui constituait une contravention sur la base de l’art. 96 al. 1 let. a LCR. L'application de l'art. 145 ch. 3 OAC – à la place de l'art. 96 al. 1 let. a LCR – a pour unique conséquence de modifier le fondement juridique de la sanction, mais non pas sa quotité, qui demeure adéquate au vu de la situation personnelle du prévenu et de la faute commise à deux reprises par celui-ci. En revanche, l'infraction de circulation sans couverture par l'assurance-responsabilité civile, qui est un délit sur la base de l'art. 96 al. 2 LCR, doit être qualifiée comme une contravention punissable en application de l'art. 145 ch. 4 OAC, de sorte que le montant de l'amende doit être augmenté pour être arrêté à 500 francs. Il découle également de ce qui précède que la quotité de la peine privative de liberté, qui avait été fixée à six mois, doit de son côté être réduite. A cet égard, on rappellera qu’au vu des antécédents de J.________, dénotant une absence de prise de conscience du caractère délictueux de ses agissements, des motifs de prévention spéciale imposent qu’une peine privative de liberté soit prononcée pour sanctionner l’ensemble des délits commis. La peine qui doit être fixée est complémentaire à la peine privative de liberté de trente jours prononcée par le Ministère public du canton de Fribourg le 6 juillet 2018, soit postérieurement à l’ensemble des faits faisant l’objet de la présente procédure. L’infraction la plus grave est en l’occurrence celle de conduite en état d’ébriété qualifiée au sens de l’art. 91 al. 2 let. a LCR. Elle doit être sanctionnée par une peine privative de liberté de l’ordre de trois mois. Par l’effet du concours avec les infractions de violation d’une obligation d’entretien, conduite d’un véhicule sans autorisation et usage abusif de permis et/ou de plaques de contrôle, il convient d’augmenter cette peine de base de trois mois. La peine d’ensemble hypothétique pour réprimer, d’une part, les délits commis par le prévenu dans le cadre de la présente procédure et, d’autre part, l’infraction ayant donné lieu à la condamnation de celui-ci du 6 juillet 2018, s’élève donc à six mois. En conséquence, J.________ doit être condamné à une peine privative de liberté de cinq mois, cette peine étant complémentaire à celle prononcée le 6 juillet 2018 par le Ministère public du canton de Fribourg.</w:t>
      </w:r>
    </w:p>
    <w:p>
      <w:r>
        <w:rPr>
          <w:b/>
        </w:rPr>
        <w:t>E. 4.1</w:t>
      </w:r>
    </w:p>
    <w:p>
      <w:r>
        <w:t>En définitive, l’appel doit être admis et le jugement contesté réformé dans le sens des considérants qui précèdent.</w:t>
      </w:r>
    </w:p>
    <w:p>
      <w:r>
        <w:rPr>
          <w:b/>
        </w:rPr>
        <w:t>E. 4.2</w:t>
      </w:r>
    </w:p>
    <w:p>
      <w:r>
        <w:t>Vu l’issue de la cause, les frais d’appel antérieurs à l’arrêt du Tribunal fédéral du 18 juin 2019, par 2'330 fr. 20, constitués de l’émolument du jugement du 18 février 2019, par 1'430 fr., ainsi que de l’indemnité du défenseur d’office du prévenu, par 900 fr. 20, seront mis à la charge de J.________ qui, ayant conclu au rejet de l’appel, succombe toujours (art. 428 al. 1, 1 re phrase, CPP [Code de procédure pénale suisse du 5 octobre 2007 ; RS 312.0]). J.________ ne sera tenu de rembourser à l’Etat le montant de l’indemnité allouée à son défenseur d’office que lorsque sa situation financière le permettra (art. 135 al. 4 let. a CPP).</w:t>
      </w:r>
    </w:p>
    <w:p>
      <w:r>
        <w:rPr>
          <w:b/>
        </w:rPr>
        <w:t>E. 4.3</w:t>
      </w:r>
    </w:p>
    <w:p>
      <w:r>
        <w:t>Sur la base de la liste des opérations produite par Me Christophe Marguerat le 16 juillet 2019 (P. 30/1), dont il n’y a pas lieu de s’écarter, une indemnité d’un montant de 395 fr. 50, correspondant à 2 heures d’activité au tarif horaire d’avocat de 180 fr., par 360 fr.,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7 fr. 20, et la TVA, par 28 fr. 30, sera allouée au défenseur d’office de J.________ pour la procédure d’appel postérieure à l’arrêt du Tribunal fédéral du 18 juin 2019. Les frais d'appel postérieurs à l’arrêt du Tribunal fédéral, constitués de l'émolument du présent jugement, par 1'320 fr. (art. 21 al. 1 TFIP), ainsi que de l'indemnité allouée au défenseur d'office de l'appelant, par 395 fr. 50, soit au total 1'715 fr. 50,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