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315 vom 12. April 2019</w:t>
      </w:r>
    </w:p>
    <w:p>
      <w:r>
        <w:t>VD Tribunal cantonal, 2019-04-12, FR</w:t>
      </w:r>
    </w:p>
    <w:p>
      <w:r>
        <w:rPr>
          <w:b/>
        </w:rPr>
        <w:t xml:space="preserve">Quelle: </w:t>
      </w:r>
      <w:r>
        <w:t>https://mcp.opencaselaw.ch/entscheid/vd_findinfo_Jug___2019___315</w:t>
      </w:r>
    </w:p>
    <w:p>
      <w:r>
        <w:t>FR: VD_FINDINFO Jug / 2019 / 315 du 12 avril 2019</w:t>
      </w:r>
    </w:p>
    <w:p>
      <w:r>
        <w:t>IT: VD_FINDINFO Jug / 2019 / 315 del 12 aprile 2019</w:t>
      </w:r>
    </w:p>
    <w:p>
      <w:pPr>
        <w:pStyle w:val="Heading2"/>
      </w:pPr>
      <w:r>
        <w:t>Regeste</w:t>
      </w:r>
    </w:p>
    <w:p>
      <w:r>
        <w:t>VIOLATION DES RÈGLES DE LA CIRCULATION, VIOLATION DES DEVOIRS EN CAS D'ACCIDENT, FIXATION DE LA PEINE | 31 al. 1 LCR, 32 al. 1 LCR, 90 al. 1 LCR</w:t>
      </w:r>
    </w:p>
    <w:p>
      <w:pPr>
        <w:pStyle w:val="Heading2"/>
      </w:pPr>
      <w:r>
        <w:t>Erwägungen</w:t>
      </w:r>
    </w:p>
    <w:p>
      <w:r>
        <w:rPr>
          <w:b/>
        </w:rPr>
        <w:t>E. 1</w:t>
      </w:r>
    </w:p>
    <w:p>
      <w:r>
        <w:t>Interjeté dans les formes et délais légaux (art. 385 et 399 CPP) par le Ministère public qui a la qualité pour recourir (art. 382 CPP) contre le jugement d’un tribunal de première instance qui a clos la procédure (art. 398 al. 1 CPP), l’appel est recevable.</w:t>
      </w:r>
    </w:p>
    <w:p>
      <w:r>
        <w:rPr>
          <w:b/>
        </w:rPr>
        <w:t>E. 2.1</w:t>
      </w:r>
    </w:p>
    <w:p>
      <w:r>
        <w:t>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et les références citées; TF 6B_1023/2010 du 3 mars 2011 consid. 2.1).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(TF 6B_873/2014 précité; TF 6B_1023/2010 précité).</w:t>
      </w:r>
    </w:p>
    <w:p>
      <w:r>
        <w:rPr>
          <w:b/>
        </w:rPr>
        <w:t>E. 2.2</w:t>
      </w:r>
    </w:p>
    <w:p>
      <w:r>
        <w:t>Selon l'art. 31 al. 1 LCR,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TF 6B_873/2014 du 5 janvier 2015 consid.</w:t>
      </w:r>
    </w:p>
    <w:p>
      <w:r>
        <w:rPr>
          <w:b/>
        </w:rPr>
        <w:t>E. 2.3</w:t>
      </w:r>
    </w:p>
    <w:p>
      <w:r>
        <w:t>Selon le Parquet, comme le prévenu ne faisait pas usage des feux de route, la vitesse d’environ 100 km/h à laquelle il circulait n’était pas adaptée et ne lui a pas permis de s’arrêter sur la distance visible, ou, à tout le moins, d’entreprendre une manœuvre d’évitement pour ne pas heurter le piéton. La présence d’un piéton sur la bande d’arrêt d’urgence, même si elle est insolite, n’a rien d’exceptionnel et, quoi qu’il en soit, rien d’imprévisible. Quant à l’inattention, elle résulte, toujours selon l’appelant, de la déposition du frère du prévenu qui a dû attirer l’attention du conducteur sur le fait qu’une personne avait été heurtée.</w:t>
      </w:r>
    </w:p>
    <w:p>
      <w:r>
        <w:rPr>
          <w:b/>
        </w:rPr>
        <w:t>E. 2.4</w:t>
      </w:r>
    </w:p>
    <w:p>
      <w:r>
        <w:t>Il faut en l’espèce déterminer si l’intimé circulait à une vitesse inadaptée à la distance éclairée et si l’on peut lui reprocher une inattention fautive. Comme l’indique le rapport de police, dont le contenu n’est pas contesté, la visibilité était étendue, la route était sèche et il faisait beau (P. 11/1, p. 5). En outre, le trafic de nuit était fluide. Force est d’en déduire que les conditions de circulation de nuit étaient bonnes. Dans ces circonstances, la vitesse à laquelle circulait l’usager n’apparaît pas inadaptée, sur un tronçon limité à 120 km/heure. En outre, le piéton était vêtu de sombre, de sorte qu’il n’a été visible qu’au tout dernier moment. Dès lors, on ne discerne aucune inattention fautive. En effet, le fait que le frère du prévenu ait fait état d’un choc avec une personne ne permet pas encore d’affirmer qu’une manœuvre d’évitement était possible. Quant à la portée des phares, le Ministère public ne démontre pas concrètement, compte tenu de la vitesse évaluée par le prévenu, que l’usage des feux de croisement n’était pas adapté à cette vitesse. Ainsi, en supposant que les feux de croisement portaient sur une distance de 60 mètres, le prévenu aurait disposé d’environ deux secondes pour réagir (en parcourant 28 m/sec à 100 km/h), ce qui paraît suffisant. A défaut de violation fautive des art. 31 al. 1 et 32 al. 1 LCR, l’intimé doit ainsi être libéré du chef de prévention de violation simple des règles de la circulation routière. Le jugement attaqué sera confirmé à cet égard.</w:t>
      </w:r>
    </w:p>
    <w:p>
      <w:r>
        <w:rPr>
          <w:b/>
        </w:rPr>
        <w:t>E. 3.1</w:t>
      </w:r>
    </w:p>
    <w:p>
      <w:r>
        <w:t>Le Ministère public soutient ensuite que l’intimé doit également être condamné pour violation des obligations en cas d’accident. Il lui reproche d’avoir omis de s’être fait connaître sur les lieux de l’accident auprès de l’agent de la police ferroviaire qui était occupé à sécuriser les lieux, dans les minutes qui ont suivi l’accident.</w:t>
      </w:r>
    </w:p>
    <w:p>
      <w:r>
        <w:rPr>
          <w:b/>
        </w:rPr>
        <w:t>E. 3.2.1</w:t>
      </w:r>
    </w:p>
    <w:p>
      <w:r>
        <w:t>Conformément à l’art. 92 al. 2 LCR, le conducteur qui aura pris la fuite après avoir tué ou blessé une personne lors d’un accident de circulation se rend coupable de violation (qualifiée) des devoirs en cas d’accident. Cette disposition réprime autant la négligence que l’intention. La jurisprudence a précisé que la fuite consiste à ne pas se tenir disponible, en tant que conducteur, sur les lieux de l'accident aussi longtemps que les constatations ne sont pas terminées (ATF 103 Ib 101 consid. 3 p. 107). En réprimant la fuite du conducteur, l'art. 92 al. 2 LCR entend poursuivre un triple but : tout d'abord, limiter au minimum les dommages, grâce à l'aide aux blessés et à l'adoption de mesures propres à garantir la sécurité de la circulation, puis permettre l'établissement rapide et sûr des circonstances de l'accident et enfin identifier les intéressés et les témoins, cela également en prévision d'un éventuel procès civil (ATF 95 IV 150 consid. 2 p. 152).</w:t>
      </w:r>
    </w:p>
    <w:p>
      <w:r>
        <w:rPr>
          <w:b/>
        </w:rPr>
        <w:t>E. 3.2.2</w:t>
      </w:r>
    </w:p>
    <w:p>
      <w:r>
        <w:t>L'art. 51 al. 1 LCR fait obligation aux personnes impliquées dans un accident de s'arrêter immédiatement (1 re phrase); ces dernières sont tenues d'assurer, dans la mesure du possible, la sécurité de la circulation (2 e phrase). L'obligation de s'arrêter est fondamentale; elle est préalable à tous les autres devoirs car elle doit permettre de constater la situation et de déterminer les mesures à prendre en fonction (cf. art. 51 al. 2 à 4 LCR). Elle est interprétée très strictement; ainsi cette obligation intervient déjà à partir du moment où il existe une possibilité que le conducteur soit impliqué dans l'accident ou lorsque la survenance de celui-ci est probable (TF 6S.321/2002 du 12 novembre 2002 consid. 4; TF 6S.275/1995 du 22 août 1995 consid. 3a.b). Lorsque le conducteur s'accommode d'un doute et omet ainsi de s'assurer qu'aucun accident n'est intervenu, il viole ses devoirs déduits de l'art. 51 al. 1, 1 re phrase, LCR (TF 6S.321/2002 du 12 novembre 2002 consid. 4).</w:t>
      </w:r>
    </w:p>
    <w:p>
      <w:r>
        <w:rPr>
          <w:b/>
        </w:rPr>
        <w:t>E. 3.2.3</w:t>
      </w:r>
    </w:p>
    <w:p>
      <w:r>
        <w:t>L'élément subjectif de l'infraction à l'art. 92 al. 1 LCR,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par dol éventuel s'il quitte les lieux (ATF 6B_1027/2013 du 14 avril 2014 consid. 3.1).</w:t>
      </w:r>
    </w:p>
    <w:p>
      <w:r>
        <w:rPr>
          <w:b/>
        </w:rPr>
        <w:t>E. 3.3</w:t>
      </w:r>
    </w:p>
    <w:p>
      <w:r>
        <w:t>En l’espèce, il est incontesté que les blessures subies par J.________ sont consécutives au choc avec la voiture pilotée par l’intimé. Il est indéniable que le prévenu aurait d’emblée dû s’annoncer auprès de l’agent de la police ferroviaire comme étant impliqué dans l’accident. Faute de l’avoir fait, il a quitté les lieux en violation de l’art. 51 al. 1 LCR. Le fait que cet agent, ignorant que l’intimé était impliqué dans l’accident, lui ait demandé de s’en aller par sécurité, n’exculpe pas le conducteur de sa responsabilité, mais tempère tout au plus sa culpabilité. En effet, conscient, par l’intervention de son frère, d’être impliqué dans l’accident, le prévenu devait impérativement s’annoncer immédiatement comme tel à l’autorité. Bien plutôt, comme le fait valoir le procureur et contrairement à ce qu’a retenu le premier juge, ce n’est qu’en fin de journée, soit de nombreuses heures après l’accident, qu’il s’est finalement annoncé à la police. Qui plus est, il ne s’y est résolu qu’après une « discussion au sein de la famille », comme il l’a indiqué à l’audience d’appel, et non pas spontanément et dès que possible, comme le retient le tribunal de police (jugement, p. 21). Les éléments constitutifs de la violation de l’art. 92 al. 2 LCR, en relation avec l’art. 51 al. 1 LCR, sont donc réalisés. Le jugement sera modifié dans ce sens au chiffre II de son dispositif. L’appel doit être admis dans cette mesure. La déclaration de culpabilité implique le prononcé d’une peine.</w:t>
      </w:r>
    </w:p>
    <w:p>
      <w:r>
        <w:rPr>
          <w:b/>
        </w:rPr>
        <w:t>E. 4.1</w:t>
      </w:r>
    </w:p>
    <w:p>
      <w:r>
        <w:t>Le Parquet requiert une peine pécuniaire de 60 jours-amende, avec sursis pendant trois ans, le montant du jour-amende étant fixé à 30 francs.</w:t>
      </w:r>
    </w:p>
    <w:p>
      <w:r>
        <w:rPr>
          <w:b/>
        </w:rPr>
        <w:t>E. 4.2.1</w:t>
      </w:r>
    </w:p>
    <w:p>
      <w:r>
        <w:t>L’art. 92 al. 2 LCR prévoit une peine privative de liberté de trois ans au plus ou une peine pécuniaire. A défaut de contravention à la LCR, il n’y a pas lieu de prononcer d’amende.</w:t>
      </w:r>
    </w:p>
    <w:p>
      <w:r>
        <w:rPr>
          <w:b/>
        </w:rPr>
        <w:t>E. 4.2.2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etribunal correctionnel.), la vulnérabilité face à la peine, de même que le comportement après l'acte et au cours de la procédure pénale (ATF 134 IV 17 consid. 2.1; ATF 129 IV 6 consid. 6.1; TF, 6B_759/2011 consid. 1.1).</w:t>
      </w:r>
    </w:p>
    <w:p>
      <w:r>
        <w:rPr>
          <w:b/>
        </w:rPr>
        <w:t>E. 4.2.3</w:t>
      </w:r>
    </w:p>
    <w:p>
      <w:r>
        <w:t>L’art. 34 CP prévoit que, prévoit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Si l’auteur renonce volontairement à travailler ou à être mieux rémunéré, le juge prend en considération le revenu présumé que l’on est en droit d’attendre de lui ou celui qu’il réalisait avant l’infraction (ATF 134 IV 60 consid. 6.1; ATF 116 IV 4 consid. 4d; TF 6B_217/2007 du 14 avril 2008 consid. 2.1.1; Dupuis/Moreillon/Piguet/Berger/ Mazou/Rodigari [éd.], Petit commentaire CP, 2 e éd., Bâle 2017, n. 18 ad art. 34 CP et les références citées). Lorsque les revenus de l’auteur ne peuvent être établis, il faut lui imputer un revenu hypothétique estimé en tenant compte de son train de vie (ATF 134 IV 60 précité; Moreillon/Bichovsky, Fixation de la peine : peine pécuniaire, travail d’intérêt général, sursis et sursis partiel : 3 ans de jurisprudence, in : RPS 3/2010, p. 243; Dupuis et al., op. et loc. cit.).</w:t>
      </w:r>
    </w:p>
    <w:p>
      <w:r>
        <w:rPr>
          <w:b/>
        </w:rPr>
        <w:t>E. 4.3</w:t>
      </w:r>
    </w:p>
    <w:p>
      <w:r>
        <w:t>La culpabilité de l’intimé apparaît modérée. A charge, on retiendra que le fait qu’il ne se soit pas d’emblée annoncé à l’agent sur place ou à la police sitôt retourné à domicile après les faits, préférant n’attendre que le lendemain – et la diffusion de l’appel à témoins – pour se faire connaître, est d’une certaine gravité en raison des conséquences de l’accident. A décharge, on tiendra compte de ce que l’auteur a admis les faits incriminés, de l’impression favorable laissée à l’audience d’appel et de sa bonne intégration sociale. On admettra aussi qu’il a pu être passagèrement pris au dépourvu par l’attitude de l’agent qui lui ordonnait de quitter les lieux pour des motifs de sécurité. Tout bien considéré, la peine pécuniaire doit être arrêtée à 40 jours-amende. Le montant du jour-amende doit être fixé à 30 fr. au vu de la situation économique du prévenu qui, bien qu’à la charge de ses parents, n’apparaît pas pour autant indigent. A juste titre, le Parquet ne demande pas une peine ferme. Les conditions du sursis sont réalisées en présence d’un pronostic favorable. Le délai d’épreuve assortissant le sursis sera arrêté au minimum légal de deux ans (art. 44 al. 1 CP). Le jugement sera modifié dans cette mesure au chiffre II de son dispositif.</w:t>
      </w:r>
    </w:p>
    <w:p>
      <w:r>
        <w:rPr>
          <w:b/>
        </w:rPr>
        <w:t>E. 5</w:t>
      </w:r>
    </w:p>
    <w:p>
      <w:r>
        <w:t>Une conclusion d’appel complémentaire porte sur le sort des séquestres, dont le premier juge a ordonné la levée et la destruction (ch. IV du dispositif). L’art. 192 al. 1 CPP prévoit que les autorités pénales versent au dossier les pièces à conviction originales dans leur intégralité. Lorsqu’une condamnation est prononcée, les pièces à conviction originales placées sous séquestre (fiches n° 22225, 22353 et 22954) doivent être maintenues au dossier. Le jugement sera modifié dans cette mesure au chiffre IV de son dispositif.</w:t>
      </w:r>
    </w:p>
    <w:p>
      <w:r>
        <w:rPr>
          <w:b/>
        </w:rPr>
        <w:t>E. 6</w:t>
      </w:r>
    </w:p>
    <w:p>
      <w:r>
        <w:t>La mesure dans laquelle l’intimé est condamné, respectivement donc libéré, des chefs de prévention dont il a à répondre commande, selon l’art. 426 al. 2 CPP, que les deux tiers des frais de première instance soient mis à sa charge, le solde étant laissé à celle de l’Etat. En raison du statut d’étudiant du prévenu et de l’importance des frais de première instance, l’équité commande de réduire à moins des deux tiers les frais de première instance à la charge du prévenu en les ramenant à la moitié seulement, soit à 5'649 fr. 60 (art. 425 CPP). Le jugement sera modifié d’office dans cette mesure au chiffre V de son dispositif.</w:t>
      </w:r>
    </w:p>
    <w:p>
      <w:r>
        <w:rPr>
          <w:b/>
        </w:rPr>
        <w:t>E. 7</w:t>
      </w:r>
    </w:p>
    <w:p>
      <w:r>
        <w:t>En définitive, l’appel doit être partiellement admis et le jugement rendu le 12 avril 2019 par le Tribunal de police de l'arrondissement de La Côte modifié dans le sens des considérants. Vu l'issue de la cause, les frais d'appel, constitués de l’émolument de jugement (art. 21 al. 1 et 2 TFIP [Tarif des frais de procédure et indemnités en matière pénale du 28 septembre 2010; BLV 312.03.1]), seront mis par deux tiers à la charge de l’intimé, le solde étant laissé à la charge de l’Etat (art. 428 al. 1 CPP). Enfin, l’intimé n’a pris aucune conclusion tendant à une indemnisation à raison du gain partiel du procès, notamment selon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