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302 vom 29. März 2019</w:t>
      </w:r>
    </w:p>
    <w:p>
      <w:r>
        <w:t>VD Tribunal cantonal, 2019-03-29, FR</w:t>
      </w:r>
    </w:p>
    <w:p>
      <w:r>
        <w:rPr>
          <w:b/>
        </w:rPr>
        <w:t xml:space="preserve">Quelle: </w:t>
      </w:r>
      <w:r>
        <w:t>https://mcp.opencaselaw.ch/entscheid/vd_findinfo_Jug___2019___302</w:t>
      </w:r>
    </w:p>
    <w:p>
      <w:r>
        <w:t>FR: VD_FINDINFO Jug / 2019 / 302 du 29 mars 2019</w:t>
      </w:r>
    </w:p>
    <w:p>
      <w:r>
        <w:t>IT: VD_FINDINFO Jug / 2019 / 302 del 29 marzo 2019</w:t>
      </w:r>
    </w:p>
    <w:p>
      <w:pPr>
        <w:pStyle w:val="Heading2"/>
      </w:pPr>
      <w:r>
        <w:t>Regeste</w:t>
      </w:r>
    </w:p>
    <w:p>
      <w:r>
        <w:t>SÉJOUR ILLÉGAL, FIXATION DE LA PEINE, PEINE PÉCUNIAIRE, CONFISCATION{DROIT PÉNAL} | 263 CP, 34 CP, 47 CP, 49 CP, 115 al. 1 let. b LEtr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admet les faits qui lui sont reprochés mais requiert une peine plus clémente.</w:t>
      </w:r>
    </w:p>
    <w:p>
      <w:r>
        <w:rPr>
          <w:b/>
        </w:rPr>
        <w:t>E. 3.1</w:t>
      </w:r>
    </w:p>
    <w:p>
      <w:r>
        <w:t>Aux termes de l’art. 115 al. 1 let. b LEtr (Loi fédérale sur les étrangers [depuis le 1 er janvier 2019 :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 du séjour autorisé. Le séjour illégal est un délit continu (ATF 135 IV 6 consid. 3.2 ; TF 6B_1226/2013 du 31 mars 2014).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w:t>
      </w:r>
    </w:p>
    <w:p>
      <w:r>
        <w:rPr>
          <w:b/>
        </w:rPr>
        <w:t>E. 3.2.1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3.2.3</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 situation personnelle et économique pertinente pour la fixation du montant du jour-amende est susceptible de constituer un fait nouveau. La juridiction d'appel ne viole pas l'interdiction de la reformatio in pejus lorsqu'elle augmente le montant du jour-amende après avoir constaté une amélioration de la situation financière de l'appelant depuis le jugement de première instance (ATF 144 IV 198 consid. 5.4, JdT 2018 IV 288).</w:t>
      </w:r>
    </w:p>
    <w:p>
      <w:r>
        <w:rPr>
          <w:b/>
        </w:rPr>
        <w:t>E. 3.3</w:t>
      </w:r>
    </w:p>
    <w:p>
      <w:r>
        <w:t>En l’espèce, l’appelant a séjourné illégalement en Suisse le 31 janvier 2013, entre le 22 mars 2013 et le 10 juin 2013, entre le 26 juillet 2013 et le 23 janvier 2014, entre le 14 février 2014 et le 2 octobre 2014 et le 4 octobre 2017. Son casier judiciaire mentionne une condamnation le 18 juillet 2016 pour séjour illégal et faux dans les certificats à 40 jours-amende. Les séjours reprochés à l’appelant sont ainsi tous antérieurs à cette condamnation, à l’exception de l’entrée ponctuelle du 4 octobre 2017. Une peine pécuniaire est adéquate pour sanctionner ces nouveaux cas. Cette peine étant du même genre, c’est à juste titre que le Tribunal de police a retenu qu’elle devait être partiellement complémentaire à celle du 18 juillet 2016. En revanche, au regard de l’infraction réprimée et dans la mesure où il n’est reproché qu’une seule entrée ponctuelle sur le territoire suisse après cette condamnation, une peine-pécuniaire de 140 jours-amende apparaît excessive. Elle sera réduite à 80 jours-amende. Reste à déterminer le montant du jour-amende. Le 29 mars 2019, devant le premier juge qui a fixé celui-ci à 10 fr., l’appelant a déclaré qu’il commencerait à travailler la semaine suivante et qu’il percevrait le SMIC, à savoir 1'200 euros. A l’audience d’appel, il a produit des fiches de salaire indiquant qu’il percevait désormais un revenu mensuel net de l’ordre de 1'900 euros. Sa capacité financière ayant augmenté, le montant du jour-amende fixé par le premier juge doit l’être également. Il sera par conséquent arrêté à 30 francs. Au vu de ce qui précède, l’appel doit être partiellement admis en tant qu’il porte sur la quotité de la peine et le montant du jour-amende rectifié d’office compte tenu de l’amélioration de la situation financière de l’appelant.</w:t>
      </w:r>
    </w:p>
    <w:p>
      <w:r>
        <w:rPr>
          <w:b/>
        </w:rPr>
        <w:t>E. 4.1</w:t>
      </w:r>
    </w:p>
    <w:p>
      <w:r>
        <w:t>L'appelant demande la restitution des sommes confisquées par le premier juge, faisant valoir que ce dernier n’aurait pas tenu compte du fait que ces montants ne provenaient pas d’une infraction et que leur saisie atteignait son minimum vital puisqu’il ne travaillait pas à l’époque des faits.</w:t>
      </w:r>
    </w:p>
    <w:p>
      <w:r>
        <w:rPr>
          <w:b/>
        </w:rPr>
        <w:t>E. 4.2</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Code de procédure pénale, 2 e éd., Bâle 2016, n. 13 ad art. 263 CPP). Dans un tel cas, le séquestre peut être ordonné sur tous les biens du prévenu, y compris sur ceux qui n'ont aucun rapport avec l'infraction (Lembo/Julen Berthod, in : Kuhn/Jeanneret [éd.], Commentaire romand, Code de procédure pénale suisse, Bâle 2011, n. 14 ad art. 263 CPP). Réglementé plus précisément à l'art. 268 CPP, la loi impose en cas de séquestre en couverture des frais de tenir compte du revenu et de la fortune du prévenu et d'exclure les valeurs insaisissables au sens des art. 92-94 LP (art. 268 al. 2 et 3 CPP ; ATF 141 IV 360). Cet examen se justifie au regard du principe de proportionnalité et découle du respect du minimum vital garanti par le droit fondamental à des conditions minimales d'existence (ATF 141 IV 360 consid. 3.1). L'autorité pénale doit disposer d'indices lui permettant de douter du futur recouvrement des frais auxquels le prévenu sera condamné (TF 1B_136/2014 du 14 mai 2014 consid. 2.1 et les références citées).</w:t>
      </w:r>
    </w:p>
    <w:p>
      <w:r>
        <w:rPr>
          <w:b/>
        </w:rPr>
        <w:t>E. 4.3</w:t>
      </w:r>
    </w:p>
    <w:p>
      <w:r>
        <w:t>En l’espèce, les sommes suivantes ont été saisies en mains de T.________ : -              250 fr. le 31 janvier 2013 (cf. dossier C, P. 4 p. 3) ; -              50 fr. le 10 juin 2013 (cf. dossier D, P. 4 p. 2 et P. 5) ; - 90 fr. le 9 décembre 2013 (cf. dossier E, P. 4 p. 2 et P. 5) ; - 300 fr. le 7 janvier 2014 (cf. dossier E, P. 6 p. 2 et P. 7) ; - 30 fr. le 4 octobre 2017, enregistré sous fiche n° 40108 (cf. dossier F, P. 4 p. 2 et P. 7 ; dossier A, P. 18). Le premier juge a considéré que le séquestre de ces montants n’avait pas porté sur le produit d’une infraction mais sur le patrimoine du prévenu en garantie d’amende. Examinant le revenu et la fortune de ce dernier, il a constaté qu’il ne travaillait pas au moment où les sommes litigieuses avaient été séquestrées, de sorte qu’il n’apparaissait pas que celles-ci soient le revenu d’un travail. En outre, lors de son audition du 31 janvier 2013, le prévenu avait expliqué que l’argent retrouvé sur lui provenait des allocations que lui versait la France, précisant que ce pays lui donnait environ 330 euros par mois. Il n’avait toutefois pas donné de plus amples explications, si ce n’est qu’il logeait chez un ami dont il souhaitait taire le nom, respectivement qu’il était hébergé et entretenu par des amis. En outre, lors de chaque séquestre, un viatique de 100 fr. lui avait été systématiquement laissé ; il n’avait alors pas fait valoir ni établi qu’il aurait été privé de moyens au point de ne pas pouvoir faire face à ses dépenses indispensables à son entretien. Enfin, le premier juge a considéré que la récente prise de domicile de l’intéressé en France permettait de douter du futur recouvrement des frais mis à sa charge. Dans ces conditions, le maintien du séquestre sur les montants susmentionnés pouvait être ordonné en couverture des frais de procédure en application l'art. 263 al. 1 let. b CPP. Ce raisonnement ne prête pas le flanc à la critique. Contrairement à ce qu’a plaidé l’appelant, le fait que les montants en question ne provenaient pas d’une infraction et le fait qu’il ne travaillait pas à l’époque des faits ont été pris en considération. Or, l’appelant ne soulève aucun autre grief à l’encontre de l’appréciation du premier juge. Complète et convaincante, celle-ci sera par conséquent confirmée.</w:t>
      </w:r>
    </w:p>
    <w:p>
      <w:r>
        <w:rPr>
          <w:b/>
        </w:rPr>
        <w:t>E. 5</w:t>
      </w:r>
    </w:p>
    <w:p>
      <w:r>
        <w:t>L’appelant requiert que la part des frais de justice mise à sa charge soit réduite, afin de prendre en compte sa situation personnelle et les erreurs commises par les autorités vaudoises dans son dossier.</w:t>
      </w:r>
    </w:p>
    <w:p>
      <w:r>
        <w:rPr>
          <w:b/>
        </w:rPr>
        <w:t>E. 5.1</w:t>
      </w:r>
    </w:p>
    <w:p>
      <w:r>
        <w:t>En vertu de l’art. 426 al. 1 CPP, le prévenu supporte les frais de procédure s’il est condamné. Toutefois, selon l’art. 425 CPP, l’autorité pénale peut réduire ou remettre les frais compte tenu de la situation de la personne astreinte à les payer. L’autorité pénale dispose dans tous les cas d’un large pouvoir d’appréciation (Chapuis, in : Kuhn/Jeanneret [éd.], op. cit., n. 1 ad art. 425 CPP).</w:t>
      </w:r>
    </w:p>
    <w:p>
      <w:r>
        <w:rPr>
          <w:b/>
        </w:rPr>
        <w:t>E. 5.2</w:t>
      </w:r>
    </w:p>
    <w:p>
      <w:r>
        <w:t>Le premier juge a considéré qu’il ne se justifiait pas de mettre l’entier des frais de la cause à la charge de T.________, dès lors que l’opposition qu’il avait formée était fondée dans une certaine mesure, et l’a condamné à n’en supporter que la moitié. En l’occurrence, l’appelant a été condamné pour l’entier des faits qui lui étaient reprochés. Dans ces conditions, il n’y a aucun motif de réduire davantage la part des frais mise à sa charge, ce d’autant moins qu’il travaille désormais et qu’il perçoit un salaire. S’agissant des erreurs que l’appelant reproche à la justice vaudoise, il a y lieu de relever que les frais de procédure pris en compte par le premier juge comprennent les frais de la procédure préliminaire devant le Ministère public (2'775 fr.), l’émolument du jugement du 29 mars 2019 (700 fr.) et l’indemnité allouée au défenseur d’office de l’appelant aux termes de ce même jugement (550 fr.). Les frais des arrêts rendus par la Chambre des recours pénale qui ont été annulés par le Tribunal fédéral n’ont donc pas été pris en considération.</w:t>
      </w:r>
    </w:p>
    <w:p>
      <w:r>
        <w:rPr>
          <w:b/>
        </w:rPr>
        <w:t>E. 6</w:t>
      </w:r>
    </w:p>
    <w:p>
      <w:r>
        <w:t>Il est enfin précisé que le nouveau droit des sanctions en vigueur dès le 1 er janvier 2018 n’est pas plus favorable dans le cas particulier, de sorte que l’ancien droit a été appliqué (art. 2 al. 2 CP). Il en va de même s’agissant de l’art. 115 al. 1 let. b LEtr, cette loi ayant été modifiée avec effet au 1 er janvier 2019 et rebaptisée « Loi fédérale sur les étrangers et l’intégration » (cf. art. 126 al. 4 LEI).</w:t>
      </w:r>
    </w:p>
    <w:p>
      <w:r>
        <w:rPr>
          <w:b/>
        </w:rPr>
        <w:t>E. 7</w:t>
      </w:r>
    </w:p>
    <w:p>
      <w:r>
        <w:t>En définitive, l'appel doit être partiellement admis et le jugement rendu le 29 mars 2019 réformé dans le sens du considérant 3.3 qui précède. Sur la base des indications qu’elle a fournie en cours d’audience et dont il n’y a pas lieu de s’écarter, une indemnité d'un montant de 376 fr. 40 , TVA et débours inclus, sera allouée à Me Dina Bazarbachi. Vu l'issue de la cause, les frais de la procédure d'appel, par 2'206 fr. 40, constitués en l’espèce de l'émolument du présent arrêt, par 1’830 fr. (art. 21 al. 1 et 2 TFIP [Tarif des frais de procédure et indemnités en matière pénale du 28 septembre 2010 ; BLV 312.03.1]), et de l’indemnité allouée au défenseur d'office, seront mis par un tiers à la charge de T.________, le solde étant laissé à la charge de l’Etat. T.________ ne sera tenu de rembourser à l’Etat le tiers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