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295 vom 15. Dezember 2017</w:t>
      </w:r>
    </w:p>
    <w:p>
      <w:r>
        <w:t>VD Tribunal cantonal, 2017-12-15, FR</w:t>
      </w:r>
    </w:p>
    <w:p>
      <w:r>
        <w:rPr>
          <w:b/>
        </w:rPr>
        <w:t xml:space="preserve">Quelle: </w:t>
      </w:r>
      <w:r>
        <w:t>https://mcp.opencaselaw.ch/entscheid/vd_findinfo_Jug___2019___295</w:t>
      </w:r>
    </w:p>
    <w:p>
      <w:r>
        <w:t>FR: VD_FINDINFO Jug / 2019 / 295 du 15 décembre 2017</w:t>
      </w:r>
    </w:p>
    <w:p>
      <w:r>
        <w:t>IT: VD_FINDINFO Jug / 2019 / 295 del 15 dicembre 2017</w:t>
      </w:r>
    </w:p>
    <w:p>
      <w:pPr>
        <w:pStyle w:val="Heading2"/>
      </w:pPr>
      <w:r>
        <w:t>Regeste</w:t>
      </w:r>
    </w:p>
    <w:p>
      <w:r>
        <w:t>TRIBUNAL FÉDÉRAL, DÉCISION DE RENVOI, VIOLATION DU DROIT, FIXATION DE LA PEINE, ACQUITTEMENT, SURSIS À L'EXÉCUTION DE LA PEINE, CONCOURS D'INFRACTIONS | 42 al. 1 CP, 43 al. 1 CP, 47 CP, 49 al. 1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1.1</w:t>
      </w:r>
    </w:p>
    <w:p>
      <w:r>
        <w:t>et l’arrêt cité). Au demeurant, on relèvera que la conclusion tendant à ce que la poursuite n° [...] de l’Office des poursuites du district de Lausanne soit radiée devrait en tout état de cause être déclarée irrecevable, dans la mesure où elle ne concerne pas l’objet du litige et n’est pas de la compétence des autorités pénales.</w:t>
      </w:r>
    </w:p>
    <w:p>
      <w:r>
        <w:rPr>
          <w:b/>
        </w:rPr>
        <w:t>E. 2</w:t>
      </w:r>
    </w:p>
    <w:p>
      <w:r>
        <w:t>Dans son jugement du 31 juillet 2018, la Cour d’appel pénale avait considéré qu’était constitutif de tentative de contrainte le seul chiffre 3 de la lettre adressée par la prévenue à F.________ le 29 octobre 2015, qui avait été ajouté à l’acte d’accusation lors des débats de première instance et qui est ainsi libellé : « 3. Par ailleurs, nous avons constaté en votre présence que les défauts signalés par divers courriels objet de la discorde et de votre départ à bien plaire n’existent pas et que par conséquent vous les avez inventés intentionnellement. Nous nous réservons sur ce point de présenter plainte pénale contre vous-même pour dol ». Dans son arrêt du 20 décembre 2018, le Tribunal fédéral a considéré qu’à la lecture du courrier litigieux, il n’apparaissait pas clairement qu’A.P.________ ait cherché à contraindre F.________ à signer l’état des lieux en la menaçant de déposer une plainte pénale si elle ne s’exécutait pas. Elle lui avait en effet laissé deux choix, soit « signer le constat » et la convention de sortie, soit « refuser de le signer », précisant que dans ce cas, elle solliciterait l’intervention de la justice de paix pour faire procéder à l’état des lieux par un expert, et ce n’est que dans un troisième point, introduit par les termes « Par ailleurs », qu’A.P.________ avait affirmé que la plaignante avait inventé des défauts et qu’elle se réservait le droit de déposer plainte pénale contre elle pour ces faits. Elle n’indiquait ici pas qu’elle renoncerait au dépôt de la plainte si l’intimée acceptait de signer l’état des lieux et la cour cantonale n’avait retenu aucun élément contextuel qui aurait permis de conclure que les lignes de la prévenue poursuivaient implicitement un tel but. En outre, le terme « Dans cette attente » à la fin du courrier pouvait tout à fait se référer aux deux options (signer le constat ou refuser de le signer), de sorte que ce n’est pas nécessairement l’ensemble du courrier qui visait à la contraindre à un certain comportement. En définitive, le Tribunal fédéral a donc estimé qu’il n’était pas possible, sur la seule base de ce courrier, de retenir qu’en mentionnant qu’elle se réservait le droit de déposer une plainte pénale pour des défauts signalés de manière mensongère, A.P.________ ait voulu obliger F.________ à signer l’état des lieux de sortie. La cour cantonale avait donc violé le droit fédéral en concluant à la réalisation de l’infraction de tentative de contrainte et le recours devait être admis sur ce point. A l’audience du 29 juillet 2019, l’appelante a confirmé que les termes « par ailleurs » utilisés dans son courrier du 29 octobre 2015 signifiaient que l’éventuel dépôt de plainte pénale n’était pas lié à la signature de l’état des lieux précédemment évoqué. Dans ces circonstances, il y a lieu de libérer A.P.________ du chef d’accusation de tentative de contrainte.</w:t>
      </w:r>
    </w:p>
    <w:p>
      <w:r>
        <w:rPr>
          <w:b/>
        </w:rPr>
        <w:t>E. 3</w:t>
      </w:r>
    </w:p>
    <w:p>
      <w:r>
        <w:t>Vu la libération de la prévenue du chef d’accusation de tentative de contrainte, il appartient à la Cour d’appel de fixer une nouvelle peine.</w:t>
      </w:r>
    </w:p>
    <w:p>
      <w:r>
        <w:rPr>
          <w:b/>
        </w:rPr>
        <w:t>E. 3.1.1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3.1.2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w:t>
      </w:r>
    </w:p>
    <w:p>
      <w:r>
        <w:rPr>
          <w:b/>
        </w:rPr>
        <w:t>E. 3.1.3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prévoyait que le juge pouvait suspendre partiellement l'exécution d'une peine pécuniaire, d'un travail d'intérêt général ou d'une peine privative de liberté d'un an au moins et de trois ans au plus afin de tenir compte de façon appropriée de la faute de l'auteur. Les art. 42 et 43 CP ont été modifiés avec effet au 1 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Quant à l’art. 43 al. 1 CP, il dispose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En règle générale, l'octroi du sursis est la règle et celui du sursis partiel l'exception. Ce dernier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w:t>
      </w:r>
    </w:p>
    <w:p>
      <w:r>
        <w:rPr>
          <w:b/>
        </w:rPr>
        <w:t>E. 3.2</w:t>
      </w:r>
    </w:p>
    <w:p>
      <w:r>
        <w:t>En l’occurrence, l’appelante doit finalement être sanctionnée pour six cas constitutifs de diffamation, soit cinq commis envers K.________ et un envers F.________. La diffamation est passible d’une peine pécuniaire (art. 173 al. 1 CP). L’acte commis contre F.________ est assurément le plus grave, dans la mesure où, comme cela a déjà été relevé par le premier juge ainsi que par la Cour de céans dans son précédent jugement, l’appelante a adressé copie du courrier destiné à la plaignante aux [...] sans autre raison que celle de lui nuire, la faisant passer auprès de son nouvel employeur pour une menteuse, étant rappelé que F.________ se trouvait à cette période encore en temps d’essai. Les agissements de la prévenue ont eu des conséquences dommageables sur la plaignante, qui venait de décrocher un emploi en Suisse et de s’installer dans ce pays et qui a notamment subi un jour d’incapacité de travail des suites de cette atteinte à sa personnalité. Au vu de ce qui précède, il se justifie de sanctionner cette infraction par une peine pécuniaire de soixante jours-amende. Par l’effet du concours avec les cinq autres cas de diffamation, d’une gravité moindre, il convient d’augmenter cette peine de base de vingt jours-amende. La peine pécuniaire d’ensemble doit dès lors être fixée à huitante jours-amende à 30 fr. le jour, cette quotité étant adéquate au vu de la situation financière de l’appelante. Le droit applicable à la suite de l’entrée en vigueur, le 1 er janvier 2018, de la révision du droit des sanctions ne permet plus l’octroi d’un sursis partiel à l’exécution des peines pécuniaires. Il est en revanche toujours possible d’assortir une peine pécuniaire, quelle que soit sa quotité, d’un sursis complet. En l’espèce, il n’est en tout cas pas possible d’émettre à l’encontre de l’appelante un pronostic clairement défavorable, notamment en raison du fait que cette dernière n’a aucun antécédent pénal. L’octroi d’un sursis, cas échéant partiel, entre donc en ligne de compte. Le nouveau droit est à cet égard plus favorable au prévenu, dans la mesure où il impose, dans les cas de condamnation à une peine pécuniaire, l’octroi du sursis complet. Il doit dès lors en être fait application en vertu du principe de la lex mitior (cf. art. 2 al. 2 CP). En définitive, c’est donc une peine pécuniaire de huitante jours-amende à 30 fr. le jour-amende, avec sursis dont la durée de trois ans peut être confirmée (cf. art. 44 al. 1 CP), qui doit être infligée à A.P.________.</w:t>
      </w:r>
    </w:p>
    <w:p>
      <w:r>
        <w:rPr>
          <w:b/>
        </w:rPr>
        <w:t>E. 4</w:t>
      </w:r>
    </w:p>
    <w:p>
      <w:r>
        <w:t>L’appelante conteste l’indemnité pour tort moral de 1'500 fr. allouée à la plaignante, se prévalant des considérants du Tribunal fédéral selon lesquels « la cour cantonale devra également rendre une nouvelle décision sur les prétentions en réparation du tort moral de l’intimée » (consid. 3.4). Si cela ne figure pas explicitement dans le jugement de première instance, il ressort néanmoins des considérants du jugement de la Cour de céans du 31 juillet 2018 (chiffre 8.2) que l’indemnité pour tort moral de 1'500 fr. a été allouée à F.________ uniquement en raison des propos diffamatoires contenus dans le courrier de l’appelante du 3 novembre 2015, dont copie avait été adressée à l’employeur de la plaignante, et au vu de l’atteinte à la personnalité de cette dernière qui en a découlé, attestée par sa responsable des ressources humaines. Le contenu du courrier de la prévenue du 29 octobre 2015, pour lequel l’infraction de tentative de contrainte a été abandonnée, n’a jamais été pris en compte dans l’évaluation du tort moral, étant précisé que par définition, la tentative implique précisément qu’aucun résultat ne se soit produit. Il n’existe donc aucun motif de réduire l’indemnité pour tort moral allouée à la plaignante, qui doit être maintenue à un montant de 1'500 francs.</w:t>
      </w:r>
    </w:p>
    <w:p>
      <w:r>
        <w:rPr>
          <w:b/>
        </w:rPr>
        <w:t>E. 5</w:t>
      </w:r>
    </w:p>
    <w:p>
      <w:r>
        <w:t>L’appelante conclut à ce que la somme de 7'341 fr. allouée par la Cour de céans à F.________ à titre d’indemnité pour les dépenses occasionnées par la procédure de première instance soit revue, se prévalant des considérants du Tribunal fédéral selon lesquels « la cour cantonale devra statuer à nouveau sur les dépens alloués à l’intimée F.________, dans la mesure où la recourante doit être libérée de l’infraction de tentative de contrainte » (consid. 5). Afin de tenir compte de l’abandon de la tentative de contrainte, il se justifie de procéder à une réduction proportionnelle d’un tiers des dépens octroyés à l’intimée, le cas lié à cette infraction n’étant pas celui qui a donné lieu à la majorité des opérations. L’indemnité fondée sur l’art. 433 CPP allouée à F.________ pour la procédure de première instance sera dès lors arrêtée à 4'894 francs.</w:t>
      </w:r>
    </w:p>
    <w:p>
      <w:r>
        <w:rPr>
          <w:b/>
        </w:rPr>
        <w:t>E. 6</w:t>
      </w:r>
    </w:p>
    <w:p>
      <w:r>
        <w:t>Dans ses déterminations du 26 juillet 2019, A.P.________ a pris des conclusions qui ne figuraient pas dans sa déclaration d’appel. Si tant est qu’il faille considérer que ces conclusions sont maintenues, l’appelante ayant déclaré à l’audience du 29 juillet 2019 qu’elle confirmait l’intégralité des conclusions de son appel, il n’y a pas lieu d’entrer en matière sur ces dernières. En effet, l’objet de l’appel est fixé dans la déclaration d’appel et la portée de celui-ci ne peut plus être élargie ultérieurement (TF 6B_125/2019 du 5 mars 2019 consid.</w:t>
      </w:r>
    </w:p>
    <w:p>
      <w:r>
        <w:rPr>
          <w:b/>
        </w:rPr>
        <w:t>E. 7.1</w:t>
      </w:r>
    </w:p>
    <w:p>
      <w:r>
        <w:t>En définitive, l’appel doit être partiellement admis et le jugement entrepris réformé dans le sens des considérants qui précèdent.</w:t>
      </w:r>
    </w:p>
    <w:p>
      <w:r>
        <w:rPr>
          <w:b/>
        </w:rPr>
        <w:t>E. 7.2</w:t>
      </w:r>
    </w:p>
    <w:p>
      <w:r>
        <w:t>Vu l’issue de la cause, les frais d’appel antérieurs à l’arrêt du Tribunal fédéral du 20 décembre 2018, par 2'680 fr., seront mis par trois quarts, soit par 2'010 fr., à la charge d’A.P.________, qui succombe encore dans une très large mesure, son appel étant notamment entièrement rejeté en ce qui concerne les infractions commises au détriment de K.________ (cf. art. 428 al. 1, 1 re phrase, CPP). Le solde sera laissé à la charge de l’Etat. L’indemnité pour les dépenses occasionnées par la procédure d’appel antérieure à l’arrêt du Tribunal fédéral allouée à F.________, dont le montant plein doit être maintenu à 1'750 fr., sera réduite d’un tiers, soit fixée à 1'166 fr. 65, afin de tenir compte de l’abandon de l’infraction de tentative de contrainte, étant précisé que cette plaignante avait conclu au rejet pur et simple de l’appel d’A.P.________.</w:t>
      </w:r>
    </w:p>
    <w:p>
      <w:r>
        <w:rPr>
          <w:b/>
        </w:rPr>
        <w:t>E. 7.3</w:t>
      </w:r>
    </w:p>
    <w:p>
      <w:r>
        <w:t>Les frais d'appel postérieurs à l’arrêt du Tribunal fédéral du 20 décembre 2018, constitués des émoluments de jugement et d’audience, par 2'050 fr. (art. 21 al. 1 et 2 TFIP [Tarif des frais de procédure et indemnités en matière pénale du 28 septembre 2010 ; BLV 312.03.1]), seront laissés à la charge de l'Etat. Quant aux dépens de la procédure d’appel postérieure à l’arrêt du Tribunal fédéral, ils seront compensés (art. 429 al. 1 let. a et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