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283 vom 19. März 2019</w:t>
      </w:r>
    </w:p>
    <w:p>
      <w:r>
        <w:t>VD Tribunal cantonal, 2019-03-19, FR</w:t>
      </w:r>
    </w:p>
    <w:p>
      <w:r>
        <w:rPr>
          <w:b/>
        </w:rPr>
        <w:t xml:space="preserve">Quelle: </w:t>
      </w:r>
      <w:r>
        <w:t>https://mcp.opencaselaw.ch/entscheid/vd_findinfo_Jug___2019___283</w:t>
      </w:r>
    </w:p>
    <w:p>
      <w:r>
        <w:t>FR: VD_FINDINFO Jug / 2019 / 283 du 19 mars 2019</w:t>
      </w:r>
    </w:p>
    <w:p>
      <w:r>
        <w:t>IT: VD_FINDINFO Jug / 2019 / 283 del 19 marzo 2019</w:t>
      </w:r>
    </w:p>
    <w:p>
      <w:pPr>
        <w:pStyle w:val="Heading2"/>
      </w:pPr>
      <w:r>
        <w:t>Regeste</w:t>
      </w:r>
    </w:p>
    <w:p>
      <w:r>
        <w:t>CRUAUTÉ, VIOL, CONTRAINTE SEXUELLE, CONSTATATION DES FAITS, FIXATION DE LA PEINE, CONCOURS D'INFRACTIONS | 189 al. 3 CP, 190 al. 3 CP, 47 CP, 49 al. 1 CP, 398 al. 3 let. b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A.N.________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2.4</w:t>
      </w:r>
    </w:p>
    <w:p>
      <w:r>
        <w:t>et 2.5 réprimés par les art. 187 et 191 CP sont certes de gravité moindre, mais justifient également une peine privative de liberté, dès lors qu’ils prennent place dans le même contexte que les autres cas. Sa quotité équivaut à un accroissement de la peine de base de l’ordre de 4 mois. En tout dernier lieu, la pornographie portant sur la période postérieure au jugement du 13 septembre 2012 doit également être punie par une peine privative de liberté, d’une quotité de 2 mois, dès lors que les films, dont certains ont été réalisés par le prévenu, concernent des scènes de même nature que ses crimes de nature sexuelle. En définitive, pour ce deuxième groupe d’infractions, il y a lieu de fixer une peine additionnelle de 9 ans et demi. Ainsi, A.N.________ devrait être condamné à une peine globale théorique de plus de 17 ans. Au vu de l’art. 49 al. 1 CP, qui impose une peine maximale de 15 ans, et de la prohibition de la reformatio in pejus , il convient toutefois de s’en tenir à la peine de 12 ans prononcée par les premiers juges, cette peine étant partiellement complémentaire à celle prononcée le 13 septembre 2012 par l’autorité de céans. Le dispositif du jugement de première instance, de même que celui communiqué le 26 juillet 2019 par l’autorité de céans sera rectifié d’office en ce sens.</w:t>
      </w:r>
    </w:p>
    <w:p>
      <w:r>
        <w:rPr>
          <w:b/>
        </w:rPr>
        <w:t>E. 3</w:t>
      </w:r>
    </w:p>
    <w:p>
      <w:r>
        <w:t>L’appelant invoque une constatation erronée des faits concernant le cas n° 2.2 commis au préjudice de Z.________. Il estime que ce cas se serait déroulé à fin 2003 ou début 2004 et reproche aux premiers juges d’avoir retenu qu’il a eu lieu en 2005 dans le seul but d’en éviter la prescription.</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3.2</w:t>
      </w:r>
    </w:p>
    <w:p>
      <w:r>
        <w:t>L’appelant fait valoir, s’agissant de l’année où les faits à l’encontre de Z.________ ont été commis, que l’avis de prochaine clôture adressé le 30 janvier 2018 fait mention des années « 2003 ou 2004 », que le rapport de police du 1 er mai 2017 énonce également la période « en 2003 ou en 2004 », alors que l’acte d’accusation du 29 novembre 2018 retient de manière surprenante l’année 2005. Il ajoute que, contrairement à ce qu’a retenu le tribunal, les déclarations de Z.________ à cet égard ne seraient pas claires, ni détaillées, celle-ci n’ayant aucun souvenir de l’agression et situant les faits de manière très approximative, et que ce ne serait que sur l’insistance de l’inspecteur que l’année 2005 aurait finalement été verbalisée. Ainsi, selon l’appelant, la crédibilité de la victime s’agissant de cette date devrait être remise en cause. Par ailleurs, il soutient que sa version des faits selon laquelle les agressions auraient eu lieu en 2003 ou 2004 serait constante, que sa mémoire ne saurait être considérée comme étant à géométrie variable et qu’il se souviendrait spécifiquement de cette situation dans le temps parce que la société qu’il dirigeait venait, à cette époque, de conclure d’importants contrats avec deux stations de ski [...]. Dans leur jugement (jgt, pp. 65-66), les premiers juges se sont fondés sur les explications de Z.________ concernant son séjour en Suisse pour retenir que les faits commis au préjudice de celle-ci s’étaient déroulés en 2005. Ils ont en effet relevé que, selon ses déclarations, après avoir vécu à [...] durant deux ans, soit jusqu’en 2002-2003, elle avait ensuite déménagé dans le même immeuble que l’appelant, à [...], où elle avait vécu au rez-de-chaussée durant environ un an, soit jusqu’en 2003-2004, avant de déménager à l’étage situé sous l’appartement de l’intéressé, où les faits se sont produits. Selon le tribunal, Z.________ avait déclaré avoir vécu dans cet immeuble durant quatre ans, à savoir de 2002-2003 à 2006-2007, et avait situé les faits au milieu de cette période, raison pour laquelle il fallait retenir l’année 2005. L’appelant, s’expliquant au sujet des clés USB retrouvées chez lui contenant les films de ses abus sexuels, a indiqué qu’il y avait, sur ces supports, aussi une vidéo avec une voisine de [...], que cette vidéo datait sauf erreur de 2003 ou 2004 et qu’il croyait qu’il y en avait eu deux avec elle (PV aud. 6, p. 2). Ensuite, A.N.________ a précisé qu’il avait mis l’Halcion dans le verre de Z.________, qu’il avait des somnifères avec lui car il était en partance pour [...] où il allait dormir à l’hôtel, qu’il avait pris des documents avec lui et qu’il devait discuter avec la victime d’une traduction en tchèque de certains documents pour sa société [...] (PV aud. 6, p. 3). L’appelant a ajouté que les deux agressions commises s’étaient déroulées lorsqu’ils habitaient à l’avenue de [...] et que la prénommée était sa voisine du dessous dans l’immeuble (PV aud. 6, p. 4). Lors de l’audition récapitulative du 4 octobre 2017, A.N.________ a confirmé que les faits commis au préjudice de Z.________ s’étaient déroulés en 2003 ou 2004 et a répété que les deux épisodes avaient eu lieu avant qu’il parte en [...] pour le travail et que, pour se rendre chez sa voisine, il avait mis à profit le projet d’installer sa société [...] en Tchéquie où la victime et sa famille devait retourner vivre, l’époux de cette dernière se trouvant déjà dans ce pays (PV aud. 16, p. 5). Devant l’autorité de première instance, l’appelant a déclaré que les faits en question s’étaient produits en automne 2003 et peut-être à mi-février 2004, précisant qu’il était en train de partir pour [...] (jgt, pp. 24-25). En appel, l’intéressé a pour l’essentiel confirmé ses déclarations et a ajouté qu’il était sûr de l’année en raison du fait qu’il avait notamment eu un contrat avec la station de [...], qu’il se rendait lui-même sur place assurer la maintenance des containers et que ce n’était qu’en 2005 que sa société avait engagé un chauffeur pour reprendre ces activités (appel, p. 3). Pour sa part, entendue par voie de commission rogatoire en Tchéquie le 14 décembre 2016 (P. 145), Z.________ a déclaré que ses enfants avaient commencé à fréquenter l’école maternelle à [...] en 2000-2001, puis qu’elle avait vécu environ deux ans à [...] avec sa famille avant de déménager à la [...] dans l’immeuble où la famille [...] occupait déjà un appartement au troisième étage. Elle a expliqué qu’elle avait d’abord logé dans un appartement au rez-de-chaussée avant d’occuper un logement au deuxième étage et qu’elle était repartie vivre avec sa famille en Tchéquie en 2007-2008. Quant à la venue de A.N.________ dans son appartement, Z.________ a indiqué que celui-ci avait mentionné qu’il devait faire un long voyage, qu’il devait être en [...] le lendemain et qu’il l’avait sollicitée pour faire des traductions. S’agissant de la date de cette visite, la prénommée a déclaré ce qui suit : « Nous avons habité dans cette maison-là pendant 4 ans, d’abord nous avons vécu au rez de chaussée, environ 1 an, et ensuite nous avons déménagé à l’étage en dessous de [...] et l’épisode s’est produit un peu près au milieu de la période que nous avons habité là-bas, ça pouvait être vers 2005 ». Elle a enfin ajouté qu’elle s’était dit qu’elle devrait garder ses distances avec l’intéressé plus ou moins en même temps que l’épisode précité, le situant alors très approximativement en 2005. Enfin, selon la traduction officielle de cette audition (P. 258/2), requise par la défense, l’épisode de la visite de A.N.________ dans l’appartement de la victime est situé ainsi dans le temps : « cela devait être autour de l’année 2005 », et la prise de distances de la victime à son égard de la manière suivante : « Cela devait être plus ou moins la même période, donc à peu près en 2005 » (P. 258/2, p. 8). Tout d’abord, on relève que les faits commis au préjudice de Z.________ se prescrivent par 15 ans (art. 97 al. 1 let. b CP [Code pénal suisse du 21 décembre 1937 ; RS 311.0]), de sorte que les faits considérés comme antérieurs au 19 mars 2004 seraient prescrits. Contrairement à la victime – qui n’a pas déposé plainte et qui a dit qu’elle ne souhaitait pas être en relation avec la présente affaire (par ex : P. 258/2, p. 6) –, l’appelant a donc intérêt à ce que la date qui doit être retenue pour ce cas se situe au plus tard au début de l’année 2004. L’intérêt du prévenu à antidater les actes n’est du reste pas seulement limité à l’acquisition de la prescription, dans la mesure où il est juriste de formation et qu’il est à même de comprendre qu’en droit pénal, plus un acte punissable est ancien, moins sévère sera sa sanction. En outre, quand bien même il serait de bonne foi, force est d’admettre qu’il peut également se tromper. En effet, l’intéressé a assorti sa première déclaration d’un « sauf erreur » et, selon la police, il a fourni des indications temporelles erronées sur certains des actes bien plus récents infligés à sa fille (cf. P. 163, p. 24). En l’occurrence, en plus des motifs qui précèdent, il y a lieu de retenir que les faits commis au préjudice de Z.________ se sont produits en 2005 ou, à tout le moins, durant la deuxième partie de l’année 2004. En premier lieu, s’il est vrai que la victime a utilisé les termes « aux alentours » et « approximativement », cette année a été indiquée à deux reprises par elle lors de son audition et ressort des deux traductions au dossier. Ainsi, si elle n’est certes pas très précise, Z.________ situe tout de même les faits en 2005, et non en 2004 ou en 2003. En deuxième lieu, l’année 2005 correspond à un repère temporel dans la mémoire de la victime, à savoir environ à la moitié de la durée de son habitation dans l’immeuble et après le changement d’appartement au sein de celui-ci. En effet, selon ses déclarations, elle a emménagé dans l’immeuble en question deux ans après son arrivée en Suisse, ce qui correspond à la période 2002-2003. Ayant vécu quatre ans dans celui-ci, la moitié de cette durée équivaut à 2004-2005. Rapproché du reste des propos tenus par la victime, on doit considérer que les faits se sont déroulés en 2005, ou éventuellement dans la deuxième partie de l’année 2004. En troisième lieu, le prétexte de la traduction de documents en tchèque invoqué par l’appelant était lié à la perspective de confier à la victime la gestion de l’éventuelle antenne tchèque de son entreprise. Or, une telle éventualité devait logiquement se présenter au plus tôt au moment du rapatriement de la famille de la victime en Tchéquie, soit vers la fin de son séjour en Suisse, situé en 2007-2008 environ. En quatrième lieu, le fait que A.N.________ situe les faits commis au préjudice de Z.________ en 2003 ou en 2004 parce qu’il n’avait pas encore engagé un chauffeur pour effectuer la maintenance des containers dans le cadre de l’activité de sa société n’est pas déterminant, dans la mesure où l’appelant a lui-même déclaré qu’il avait engagé cet employé durant l’année 2005 (jgt, p. 25). Cela n’exclut en effet en rien que les faits aient pu se produire en 2005, le cas échéant à la fin de l’année 2004. Au regard des éléments qui précèdent, le moyen de l’appelant doit être rejeté.</w:t>
      </w:r>
    </w:p>
    <w:p>
      <w:r>
        <w:rPr>
          <w:b/>
        </w:rPr>
        <w:t>E. 4</w:t>
      </w:r>
    </w:p>
    <w:p>
      <w:r>
        <w:t>A.N.________ conteste avoir agi avec cruauté et, partant, sa condamnation pour les infractions de tentative de contrainte sexuelle aggravée, tentative de viol aggravé, désistement de viol aggravé et viol aggravé. D’une part, il fait valoir que, dans la mesure où, selon la jurisprudence, les souffrances physiques ou psychiques doivent être infligées avant ou pendant l’acte, il n’y aurait pas lieu de tenir compte de l’utilisation des films postérieurement aux actes dans le cadre de l’aggravante de la cruauté et qu’il n’a pas diffusé ceux-ci. D’autre part, il soutient qu’il n’aurait pas sciemment infligé nettement plus de souffrance à ses victimes que ce qui était nécessaire à la réalisation des infractions de base en cause, dès lors qu’il avait endormi ses victimes pour qu’elles ne se souviennent de rien et non pour assouvir un besoin de faire souffrir. Enfin, l’appelant considère que ses victimes n’ont pas subi des souffrances physiques ou psychiques d’une cruauté extraordinaire avant ou pendant la commission des actes, parce qu’elles n’en ont aucun souvenir.</w:t>
      </w:r>
    </w:p>
    <w:p>
      <w:r>
        <w:rPr>
          <w:b/>
        </w:rPr>
        <w:t>E. 4.1</w:t>
      </w:r>
    </w:p>
    <w:p>
      <w:r>
        <w:t>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Selon l’alinéa 3 de ces dispositions, si l’auteur a agi avec cruauté, notamment s’il a fait usage d’une arme dangereuse ou d’un autre objet dangereux, la peine sera la peine privative de liberté de trois ans au moins. L'art. 189 CP vise à réprimer de manière générale la contrainte en matière sexuelle. Le viol (art. 190 CP) constitue une lex specialis pour le cas où la victime est une femme et qu'il lui est imposé l'acte sexuel proprement dit (ATF 119 IV 309 consid. 7b ; TF 6S.463/2005 du 10 février 2006 consid. 2). Selon la jurisprudence, la cruauté suppose que l'auteur inflige volontairement, avant ou pendant l'acte, des souffrances physiques ou psychiques particulières qui vont au-delà de ce qui appartient déjà à la réalisation de l'infraction de base ou l'accompagne nécessairement (ATF 119 IV 49 consid. 3c ; ATF 119 IV 224 consid. 3 ; TF 6P.197/2006 du 23 mars 2007 consid. 8). Pour dire si l'auteur a agi avec cruauté, il faut porter une appréciation sur le comportement qu'il a voulu, et non pas sur ce que la victime a ressenti en fonction de ses circonstances personnelles particulières (ATF 119 IV 49 consid. 3 ; TF 6P.197/2006 du 23 mars 2007 consid. 8). La disposition réprimant le cas qualifié doit être interprétée de manière restrictive compte tenu notamment de l'importante augmentation du minimum légal de la peine pour l'infraction aggravée par rapport à celui prévu pour l'infraction simple. Cette interprétation restrictive implique que le cas qualifié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était nécessaire pour briser la résistance de la victime et donc pour parvenir à la réalisation de l'infraction simple, lui infligeant ainsi des souffrances physiques ou psychiques particulières.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3c et d, ATF 119 IV 224 consid. 3 ; TF 6P.197/2006 du 23 mars 2007 consid. 8). La cruauté peut aussi résulter de la répétition ou de la durée des actes, ainsi que de leur caractère particulièrement humiliant (TF 6P.197/2006 du 23 mars 2007 consid. 8 et l’auteur cité). A titre d'exemple de cruauté, l'art.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49 consid. 3 ; ATF 119 IV 224 consid. 3 ; TF 6P.197/2006 du 23 mars 2007 consid. 8). Le Tribunal fédéral a aussi retenu la cruauté dans un cas où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(TF 6S.698/1993 du 26 janvier 1994). Agit également avec cruauté l’auteur qui attache la victime sur un lit, lui couvre le visage au moyen d’un ruban adhésif, lui prodigue des caresses et accomplit l’acte sexuel, puis abandonne la victime un certain temps, celle-ci étant toujours attachée et aveuglée et revient pour accomplir à nouveau un autre acte sexuel (TF 6B_532/2007 du 3 décembre 2007).</w:t>
      </w:r>
    </w:p>
    <w:p>
      <w:r>
        <w:rPr>
          <w:b/>
        </w:rPr>
        <w:t>E. 4.2.1</w:t>
      </w:r>
    </w:p>
    <w:p>
      <w:r>
        <w:t>En l’occurrence, en dépit des faits très graves perpétrés par A.N.________, les conditions pour retenir la circonstance aggravante de la cruauté ne sont, en raison de la jurisprudence restrictive à cet égard, pas réalisées pour les faits commis au préjudice de S.________ (cas n° 2.1), de Z.________ (cas n° 2.2) et de H.________ (cas n  2.3), ainsi que pour les faits commis dans le courant du printemps 2014 et entre avril et juin 2014 à l’encontre de B.N.________ (cas n° 6 et 7). S’agissant des faits concernant S.________ (cas n° 2.1), l’appelant a certes prémédité son acte, puisqu’il a d’abord administré un puissant somnifère à sa victime, puis lui a appliqué, à plusieurs reprises, de l’éther au niveau des voies respiratoires pour s’assurer qu’elle ne se réveille pas, soit pour la mettre hors d’état de résister, et pour abuser d’elle. Il a certes aussi réduit sa victime, devenue inerte en raison des toxiques ingérés, à l’état de chose et l’a humiliée en filmant les rapports sexuels, en la manipulant sexuellement à sa guise, en éjaculant sur son visage et en introduisant une carotte dans son vagin et une pomme dans la bouche. Par ailleurs, le lendemain, S.________ s’est sentie très mal et a été aux prises à de forts vomissements. Toutefois, malgré la gravité de ses agissements, on constate que A.N.________ ne s’est pas réellement comporté avec sadisme durant les faits, en faisant par exemple subir des sévices physiques ou moraux à sa victime, ni avec une brutalité excessive. On ignore en outre à quel point les produits administrés afin de mettre sa victime à sa merci, en l’occurrence une personne adulte de constitution moyenne, dosés par tâtonnements ou expériences, ont pu être dangereux pour cette dernière. De plus, quand bien même il a filmé la scène et qu’il n’a laissé aucun souvenir des faits à sa victime, il est difficile d’affirmer, comme l’a fait le tribunal criminel, que cette absence de souvenir aurait causé des violences psychologiques toutes particulières à S.________ lorsque la réalisation du crime lui a été révélée. Ainsi, force est d’admettre que l’appelant n’a pas fait subir, sciemment, des souffrances à la prénommée allant au-delà de ce qui était nécessaire pour réaliser l’infraction de viol. Par conséquent, A.N.________ doit être reconnu coupable de viol simple dans ce cas. S’agissant des faits concernant Z.________ (cas n° 2.2), l’appelant a agi selon le même mode opératoire que pour sa précédente victime, sous réserve toutefois qu’il ne lui a pas introduit d’objets dans les orifices corporels, qu’il ne lui a pas éjaculé sur le visage mais sur le ventre et qu’elle ne s’est pas sentie mal et n’a pas été aux prises à de forts vomissements. Ainsi, A.N.________ doit également être reconnu coupable de viol simple dans ce cas. S’agissant des faits concernant H.________ (cas n° 2.3), l’appelant a agi selon le même mode opératoire que pour sa première victime. Ainsi, pour les mêmes motifs que pour Z.________, A.N.________ doit être reconnu coupable de viol simple dans ce cas. S’agissant des faits commis durant le courant du printemps 2014 au préjudice de sa fille B.N.________ (cas n° 2.6), l’appelant a administré un somnifère à sa fille pour l’endormir, puis lui a appliqué de l’éther pour la maintenir inconsciente. Il l’a ensuite déshabillée suffisamment pour laisser apparaître ses parties intimes et l’a caressée, à même la peau, sur les seins, le sexe et les fesses. Puis, il a introduit deux doigts dans le vagin de sa fille et a opéré des mouvements de va-et-vient, qui ont blessé cette dernière. Pour ces faits, les premiers juges ont reconnu l’appelant coupable de lésions corporelles simples qualifiées et d’actes d’ordre sexuel avec des enfants. Ils ont en outre estimé que A.N.________ s’était rendu coupable de tentative de viol avec cruauté, parce qu’il avait l’intention de pénétrer vaginalement sa fille ce soir-là et qu’il s’était comporté avec elle de manière strictement identique qu’avec ses précédentes victimes. Cependant, les conditions de la circonstance aggravante de la cruauté ne sont, comme pour les premiers cas, pas remplies. En effet, quand bien même il lui a administré des substances toxiques qu’il savait nocives pour sa santé, il y a encore lieu de considérer qu’en l’occurrence, A.N.________ ne lui a pas sciemment fait endurer, en plus du viol, des souffrances particulières inutiles. Certes, il a provoqué des saignements abondants et persistants par ses mouvements de doigts et lui a administré les produits habituels. Toutefois, cela s’avère insuffisant pour fonder la circonstance aggravante de la cruauté. Ainsi, A.N.________ doit être reconnu coupable de tentative de viol simple pour ce cas. S’agissant des faits commis entre avril et juin 2014 au préjudice de sa fille B.N.________ (cas n° 2.7), l’appelant, qui avait administré un somnifère à sa femme et à sa fille avant qu’elles aillent se coucher, s’est relevé durant la nuit dans l’intention d’abuser sexuellement de B.N.________, mais s’est finalement ravisé et est retourné se coucher. Outre le désistement au sens de l’art. 23 CP d’actes d’ordre sexuel avec des enfants, seul le désistement de viol simple sera donc retenu contre lui. En définitive, l’appel de A.N.________ doit être admis dans cette mesure.</w:t>
      </w:r>
    </w:p>
    <w:p>
      <w:r>
        <w:rPr>
          <w:b/>
        </w:rPr>
        <w:t>E. 4.2.2</w:t>
      </w:r>
    </w:p>
    <w:p>
      <w:r>
        <w:t>Pour les deux derniers cas commis à l’encontre de B.N.________ (cas n° 2.8 et 2.9), il convient en revanche de considérer que l’appelant a agi avec cruauté. S’agissant des faits commis à deux reprises vers le milieu de l’année 2014 (cas n° 2.8), l’appelant s’en est à nouveau pris à sa fille B.N.________, alors même qu’il l’avait déjà blessée en lui occasionnant des saignements abondants en lui faisant subir des actes d’ordre sexuel le printemps précédent. Il lui a d’abord administré un somnifère, a installé une caméra et l’a mise en marche pour filmer la scène, puis a appliqué de l’éther sur ses voies respiratoires, en lui donnant une dose supplémentaire pour s’assurer qu’elle dorme profondément. Ensuite, après l’avoir déshabillée, A.N.________ a caressé le sexe de sa fille et l’a léché, avant de la pénétrer vaginalement et d’éjaculer sur son ventre la première fois. Au terme de l’un des épisodes, B.N.________ s’est réveillée et a été prise de vomissements. Dans ce cas, l’appelant a fait absorber une plus forte dose de substances anesthésiantes à sa fille que celles administrées lors des fois précédentes. Or, l’appelant connaissait les effets nocifs de ces substances. Il avait en effet déjà, avec d’anciens coéquipiers, expérimenté la prise d’éther et constaté que cela leur occasionnait des pertes de connaissance. Il avait également remarqué que certaines de ses victimes avaient été prises de crises de vomissements répétitifs, de nausées et d’un état de mal-être, qui duraient environ une demi-journée. Par ailleurs, l’appelant a admis qu’il ne maîtrisait pas la manière de doser les substances en question. Ainsi, en administrant la dose concernée à sa fille, une enfant de bien plus faible constitution que lui-même ou ses précédentes victimes, il savait qu’il mettait en danger la santé de celle-ci. En outre, A.N.________ s’en était déjà pris à sa fille quelques mois auparavant et l’avait fait saigner de manière abondante et persistante au niveau du vagin après avoir introduit des doigts dans celui-ci. En dépit de cela, et sans sous soucier des douleurs que cela pouvait causer à sa victime, il a sciemment contraint sa fille à l’acte sexuel complet, agissant ainsi avec une brutalité particulière. Pour le reste, en annihilant la résistance de sa fille au moyen des substances anesthésiantes, il l’a réduite à l’état de simple corps inerte, entièrement soumis, l’humiliant ainsi tout particulièrement. Dans ces conditions, il y a lieu de retenir que A.N.________ a, dans ce cas, agi avec cruauté. Il doit donc être reconnu coupable de viol avec cruauté pour ces faits. S’agissant des faits commis le 18 octobre 2015 au préjudice de B.N.________ (cas n° 2.9), l’appelant a imbibé une chaussette d’éther qu’il a agitée à plusieurs reprises sur le visage de la prénommée jusqu’à ce qu’elle soit plongée dans un sommeil profond. Il a commencé à se masturber devant sa fille et, alors qu’il commençait à être en érection, cette dernière a fait mine de vomir. A.N.________ a cessé de se masturber, puis à mis la tête de sa fille sur le côté. Il a par ailleurs admis qu’il souhaitait simplement la caresser sexuellement ce soir-là. Pour ce cas également, le prénommé a, à une énième reprise, administré une quantité indéterminée d’éther à sa fille, mettant ainsi en péril sa santé, dès lors qu’il connaissait parfaitement, comme on l’a vu, les effets néfastes que cette substance pouvait avoir sur elle. A cause de la forte dose administrée, il a par ailleurs cette fois rendu sa fille immédiatement malade, au point que ces actes ont dû être interrompus parce qu’elle avait envie de vomir. En agissant comme il l’a fait, l’appelant a dès lors manifestement causé des souffrances particulières et inutiles à B.N.________ en la mettant hors d’état de résister dans le but de lui prodiguer des caresses de nature sexuelle. En outre, dès lors qu’il avait déjà occasionné des blessures à sa fille le printemps précédent et qu’il souhaitait s’en prendre à elle une nouvelle fois, A.N.________, même s’il n’a pu consommer l’infraction, allait, à nouveau, se comporter avec brutalité avec elle. Ainsi, A.N.________ doit notamment être reconnu coupable de tentative de contrainte sexuelle avec cruauté dans ce cas. En résumé, la répétition d’actes de contrainte sexuelle à l’encontre d’une enfant, victime objectivement particulièrement vulnérable, et la brutalité induite par le surdosage d’éther provoquant de forts vomissements et un état de mal-être persistant plusieurs heures relèvent de la cruauté. Pour le reste, celles-ci n’étant pas remises en cause, il n’y a pas lieu de revenir sur les autres infractions retenues par le tribunal pour ces cas.</w:t>
      </w:r>
    </w:p>
    <w:p>
      <w:r>
        <w:rPr>
          <w:b/>
        </w:rPr>
        <w:t>E. 5</w:t>
      </w:r>
    </w:p>
    <w:p>
      <w:r>
        <w:t>L’appelant conteste la quotité de la peine qui lui a été infligée. Il estime d’une part que la motivation de la peine serait insuffisante. Il considère d’autre part que les premiers juges ont omis de tenir compte de certains éléments à décharge, soit sa reconnaissance des actes, ses excuses sincères, sa bonne collaboration tout au long de la procédure, en particulier sa révélation de l’existence des films des abus qui sans cela seraient demeurés secrets, ainsi que sa volonté authentique de se faire soigner. Compte tenu de l’abandon de la circonstance aggravante de la cruauté et des éléments précités, il requiert le prononcé d’une peine privative de liberté de 8 ans.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5.1.3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désormais,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5.2</w:t>
      </w:r>
    </w:p>
    <w:p>
      <w:r>
        <w:t>En l’espèce, l’appelant est condamné pour avoir – ou avoir tenté –, entre 2005 à 2015, soit sur une période de 10 ans, porté atteinte, à une dizaine de reprises, à l’intégrité sexuelle de plusieurs victimes, mais aussi, notamment, pour avoir porté atteinte à leur intégrité physique et pour avoir consommé de la pornographie prohibée. Il s’est ainsi rendu coupable des infractions de lésions corporelles simples qualifiées, de violation du domaine secret ou du domaine privé au moyen d’un appareil de prises de vues, de désistement d’actes d’ordre sexuel avec des enfants, d’actes d’ordre sexuel avec des enfants, de tentative de contrainte sexuelle aggravée, de viol, de tentative de viol, de désistement de viol, de viol aggravé, d’actes d’ordre sexuel sur une personne incapable de discernement ou de résistance, de pornographie et d’inceste. La culpabilité de A.N.________ est extrêmement lourde. L’intéressé s’en est en particulier pris à certains des biens les plus précieux de l’ordre juridique suisse, soit à l’intégrité sexuelle et corporelle de plusieurs victimes, dont sa propre fille, encore jeune adolescente. Les faits sont d’une gravité extrême. L’appelant a en outre agi à de nombreuses reprises durant de longues années, en choisissant ses victimes parmi son entourage. De manière vile et égoïste, il a profité du fait qu’elles devaient se sentir en sécurité dans leur propre foyer, dans leur famille ou chez des amis pour les rendre inconscientes et abuser d’elle. Dans le but d’assouvir ses fantasmes et ses déviances sexuelles, il n’a, sans scrupules, pas hésité à porter atteinte à la santé de ses victimes en leur administrant de façon totalement aléatoire des substances anesthésiantes afin de les réduire à l’état de simples corps inertes entièrement soumis à ses exigences sexuelles. Il a en outre porté atteinte à leur personnalité en filmant ces scènes et en réutilisant les vidéos à des fins d’excitation sexuelle. Par ailleurs, A.N.________ s’est en dernier lieu comporté de manière plus grave encore, puisqu’il s’est attaqué à sa propre fille, et, à la fin, alors même qu’il avait entrepris une thérapie sur l’insistance de son épouse. Il a traité sa dernière victime avec brutalité au mépris des douleurs et des lésions psychiques qu’il pouvait lui infliger. L’antécédent de l’appelant, quand bien même il concerne une infraction de toute autre nature, lui a valu une importante peine privative de liberté prononcée avec sursis, si bien qu’il vient alourdir sa culpabilité. Il démontre en outre que malgré la menace de devoir exécuter cette peine, il n’a pas hésité à poursuivre la commission d’infractions et qu’il ne respecte donc pas les décisions de justice prises contre lui. Enfin, la responsabilité de l’intéressé a été jugée pleine et entière. A décharge, il y a lieu de tenir compte des excuses et des regrets exprimés par A.N.________, de même que la reconnaissance de ses actes que dans une mesure légère. En effet, avec les experts (cf. not. jgt, p. 17) et les premiers juges, il y a lieu, quoi qu’en dise l’appelant, de considérer que ces éléments doivent être examinés avec circonspection étant donné les tendances manipulatrices de l’intéressé et le fait qu’il a toujours su adapter son discours et ses agissements aux événements. Par ailleurs, comme l’ont fait les premiers juges, une certaine collaboration de l’appelant à l’enquête et ses aveux, que ce soit par la mise à disposition des clés USB contenant les films de ses crimes ou au moyen de ses explications aux différents intervenants, sera également prise en compte, de façon moyenne toutefois, puisque ces contributions à la vérité ont été suscitées selon toutes vraisemblances par la dénonciation de son thérapeute et la connaissance de certains faits par son épouse. Le comportement de A.N.________ en détention et les bons renseignements recueillis dans ce cadre seront pris en considération, de même que l’écoulement du temps. En dernier lieu, la volonté du prénommé de se soigner sera également prise en compte comme élément à décharge. Il convient désormais de fixer la peine en tenant compte des règles sur le concours d’infractions prévues à l’art. 49 al. 1 et 2 CP et de la jurisprudence y relative. Dans la mesure où A.N.________ a fait l’objet d’une condamnation en date du 13 septembre 2012 par la Cour d’appel pénale du Tribunal cantonal pour des faits commis entre 2005 et 2007, le juge doit fixer une peine complémentaire de sorte que l'auteur ne soit pas puni plus sévèrement que si les diverses infractions avaient fait l'objet d'un seul jugement (art. 49 al. 2 CP). En l’occurrence, au 13 septembre 2012, l’appelant avait commis les cas n° 2.1 à 2.3. Cela étant, il y a lieu de considérer que le cas le plus grave est celui-ci perpétré à l’encontre de S.________, dès lors que, par rapport à ses deux autres victimes, l’appelant a particulièrement humilié la prénommée en lui introduisant des aliments dans la bouche et le vagin et en lui éjaculant sur le visage. A lui seul, ce cas, constitutif de viol, justifie, au vu des éléments de culpabilité décrits ci-dessus et en particulier de l’écoulement du temps, le prononcé d’une peine privative de liberté de 3 ans. Les deux cas postérieurs, constitutifs de viol, commis à l’encontre de Z.________ et H.________, qui, comme on l’a vu (cf. consid. 4.2.1 supra ), sont comparativement moins graves que le premier, conduisent, en raison des effets du concours et des éléments à charge et à décharge, à augmenter la peine de base de 2 ans pour chacun d’eux. Enfin, si en septembre 2012, l’autorité avait eu connaissance des autres faits commis, elle aurait de toute manière également prononcé une peine privative de liberté pour l’infraction de gestion déloyale. Cette infraction, en l’occurrence, la moindre grave de toute, aurait eu au minimum comme conséquence d’accroître la peine de base de l’ordre d’1 an. Pour le reste, il sera renoncé à infliger une peine s’agissant de la période du cas n° 2.10 (pornographie) qui s’est produite avant le jugement du 13 septembre 2012, dès lors que cette période est très réduite et que cette infraction est d’une gravité inférieure à celle des autres. Ainsi, pour ce premier groupe d’infractions, il y a lieu de prononcer une peine privative de liberté de l’ordre de 8 ans. Ensuite, il convient de fixer la peine pour les infractions commises postérieurement au jugement du 13 septembre 2012 –, à savoir pour les cas n° 2.4 à 2.10 (période postérieure au 13 septembre 2012). Dans ce deuxième groupe d’infractions, le cas le plus grave est celui perpétré, à deux reprises, vers le milieu de l’année 2014 au préjudice de B.N.________ (cas n° 2.8), dès lors qu’il est constitutif des infractions de viol avec cruauté, d’inceste, d’acte d’ordre sexuel avec des enfants de lésions corporelles simples qualifiées, de violation du domaine secret ou du domaine privé au moyen d’un appareil de prises de vues et de pornographie. A lui seul, ce cas, lors duquel l’appelant s’est attaqué deux fois à sa fille en la traitant avec brutalité au mépris des souffrances qu’il pouvait lui faire endurer, doit être réprimé par une peine privative de liberté d’au minimum 5 ans. En particulier, les infractions accessoires à ces cas justifient également une peine privative de liberté. Elles ont en effet toutes été commises dans le cadre de l’accomplissement des viols avec cruauté. D’une part, en lui administrant des substances nocives, l’appelant a porté atteinte à la santé de sa fille pour la mettre hors d’état de résister et abuser d’elle. D’autre part, la prise et la sauvegarde des images des crimes ont été faites afin que le prévenu puisse, plus tard, visionner à nouveau les méfaits qu’il a commis. Le cas n° 2.6 situé au printemps 2014 à l’encontre de B.N.________, à savoir la tentative de viol, couplée aux infractions d’actes d’ordre sexuel sur des enfants et de lésions corporelles simples qualifiées, doit également être réprimé par une peine privative de liberté pour les mêmes motifs et augmenter la peine de base de l’ordre de 2 ans. En outre, l’infraction de tentative contrainte sexuelle avec cruauté (cas n° 2.9) et celles de désistement d’acte d’ordre sexuel avec des enfants et de viol (cas n° 2.7) commises par l’appelant, toujours au détriment de sa fille, sont d’une gravité égale et justifient également une peine privative de liberté. Ces cas viendront augmenter, de par les effets du concours, la peine de base d’encore 2 ans. Enfin, les cas n°</w:t>
      </w:r>
    </w:p>
    <w:p>
      <w:r>
        <w:rPr>
          <w:b/>
        </w:rPr>
        <w:t>E. 6.1</w:t>
      </w:r>
    </w:p>
    <w:p>
      <w:r>
        <w:t>Conformément à l’art. 51 CP, la détention subie depuis le jugement de première instance sera déduite de la peine privative de liberté prononcée.</w:t>
      </w:r>
    </w:p>
    <w:p>
      <w:r>
        <w:rPr>
          <w:b/>
        </w:rPr>
        <w:t>E. 6.2</w:t>
      </w:r>
    </w:p>
    <w:p>
      <w:r>
        <w:t>Pour garantir l’exécution de la peine, le maintien en exécution anticipée de peine de l’appelant doit être ordonné.</w:t>
      </w:r>
    </w:p>
    <w:p>
      <w:r>
        <w:rPr>
          <w:b/>
        </w:rPr>
        <w:t>E. 7</w:t>
      </w:r>
    </w:p>
    <w:p>
      <w:r>
        <w:t>En définitive, l’appel de A.N.________ doit être partiellement admis et le jugement attaqué réformé dans le sens des considérants. Sur la base de la liste d’opérations produite par Me Gilles Miauton (P. 300), dont il n’y a pas lieu de s’écarter si ce n’est pour tenir compte du temps consacré à l’audience du 24 juillet 2019, une indemnité pour la procédure d’appel d’un montant de 5'161 fr. 20, correspondant à 22,83 heures d’activité au tarif horaire d’avocat de 180 fr., 82 fr. 20 de débours (2% des honoraires), cinq vacations à 120 fr., ainsi que 369 fr. de TVA, sera allouée à celui-ci pour son mandat de défenseur d’office de l’appelant. Au regard de la liste d’opérations produite par Me Coralie Germond (P. 301), dont il y a lieu de déduire 30 minutes en raison de la durée surestimée de l’audience, une indemnité pour la procédure d’appel d’un montant de 1’414 fr. 55, correspondant à 6,5 heures d’activité au tarif horaire d’avocat de 180 fr., 23 fr. 40 de débours (2% des honoraires), une vacation à 120 fr., ainsi que 101 fr. 15 de TVA, sera allouée à celle-ci pour son mandat de conseil d’office de H.________. Au vu de la liste d’opérations produite par Me Sophie Beroud (P. 299), dont il n’y a pas lieu de s’écarter, une indemnité pour la procédure d’appel d’un montant de 962 fr. 85, débours et TVA compris, sera allouée à celle-ci pour son mandat de conseil d’office de B.N.________. Vu l’issue de la cause, les frais de la procédure d’appel, par 11’868 fr. 60, constitués de l’émolument de jugement, par 4’330 fr. (art. 21 al. 1 et 2 TFIP [Tarif des frais de procédure et indemnités en matière pénale du 28 septembre 2010 ; BLV 312.03.1]), de l’indemnité allouée à son défenseur d’office, par 5'161 fr. 20, de l’indemnité allouée au conseil d’office de H.________, par 1’414 fr. 55, ainsi que de l’indemnité allouée au conseil d’office de B.N.________, par 962 fr. 85, seront mis pour quatre cinquièmes, soit par 9'494 fr. 90, à la charge de A.N.________, qui succombe dans une large mesure (art. 428 al. 1, 1 re phrase, CPP), le solde étant laissé à la charge de l’Etat. L’appelant ne sera toutefois tenu de rembourser à l’Etat les quatre cinquièmes des indemnités en faveur des défenseur et conseils d’office que lorsque sa situation financière le permettra (art. 135 al. 4 let. a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