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271 vom 15. April 2019</w:t>
      </w:r>
    </w:p>
    <w:p>
      <w:r>
        <w:t>VD Tribunal cantonal, 2019-04-15, FR</w:t>
      </w:r>
    </w:p>
    <w:p>
      <w:r>
        <w:rPr>
          <w:b/>
        </w:rPr>
        <w:t xml:space="preserve">Quelle: </w:t>
      </w:r>
      <w:r>
        <w:t>https://mcp.opencaselaw.ch/entscheid/vd_findinfo_Jug___2019___271</w:t>
      </w:r>
    </w:p>
    <w:p>
      <w:r>
        <w:t>FR: VD_FINDINFO Jug / 2019 / 271 du 15 avril 2019</w:t>
      </w:r>
    </w:p>
    <w:p>
      <w:r>
        <w:t>IT: VD_FINDINFO Jug / 2019 / 271 del 15 aprile 2019</w:t>
      </w:r>
    </w:p>
    <w:p>
      <w:pPr>
        <w:pStyle w:val="Heading2"/>
      </w:pPr>
      <w:r>
        <w:t>Regeste</w:t>
      </w:r>
    </w:p>
    <w:p>
      <w:r>
        <w:t>DROIT D'ÊTRE ENTENDU, APPRÉCIATION DES PREUVES, ÉTAT DE NÉCESSITÉ, CIRCULATION ROUTIÈRE{DROIT DE LA CIRCULATION ROUTIÈRE} | 17 CP, 18 CP, 29 al. 2 Cst., 31 LCR, 34 al. 3 LCR, 34 al. 4 LCR, 44 al. 1 LCR, 90 al. 1 LCR, 12 al. 1 OCR, 3 al. 1 OCR, 139 CPP (CH), 398 al. 4 CPP (CH)</w:t>
      </w:r>
    </w:p>
    <w:p>
      <w:pPr>
        <w:pStyle w:val="Heading2"/>
      </w:pPr>
      <w:r>
        <w:t>Erwägungen</w:t>
      </w:r>
    </w:p>
    <w:p>
      <w:r>
        <w:rPr>
          <w:b/>
        </w:rPr>
        <w:t>E. 1.1</w:t>
      </w:r>
    </w:p>
    <w:p>
      <w:r>
        <w:t>Interjeté dans les formes et délais légaux (art. 385 al. 1 et 399 CPP [Code de procédure pénale suisse du 5 octobre 2007; RS 312.0]) par une partie ayant qualité pour recourir (art. 382 al. 1 CPP) contre le jugement d’un tribunal de première instance ayant clos la procédure (art. 398 al. 1 CPP), l'appel de H.________ est recevable.</w:t>
      </w:r>
    </w:p>
    <w:p>
      <w:r>
        <w:rPr>
          <w:b/>
        </w:rPr>
        <w:t>E. 1.2</w:t>
      </w:r>
    </w:p>
    <w:p>
      <w:r>
        <w:t>S'agissant d'un appel dirigé contre un jugement ne portant que sur une contravention, la procédure écrite est applicable (art. 406 al. 1 let. c CPP) et la cause ressort de la compétence d'un juge unique (art. 14 al. 3 LVCPP [Loi d'introduction du Code de procédure pénale suisse du 19 mai 2009; BLV 312.01]).</w:t>
      </w:r>
    </w:p>
    <w:p>
      <w:r>
        <w:rPr>
          <w:b/>
        </w:rPr>
        <w:t>E. 2</w:t>
      </w:r>
    </w:p>
    <w:p>
      <w:r>
        <w:t>L’appelant se plaint en premier lieu d’une violation de son droit d’être entendu, dans la mesure où le premier juge a refusé d’entendre D.________ en qualité de témoin, malgré ses réquisitions en ce sens, qu’il réitère par ailleurs en appel.</w:t>
      </w:r>
    </w:p>
    <w:p>
      <w:r>
        <w:rPr>
          <w:b/>
        </w:rPr>
        <w:t>E. 2.1.1</w:t>
      </w:r>
    </w:p>
    <w:p>
      <w:r>
        <w:t>A teneur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[RS 173.110]; TF 6B_1247/2013 du 13 mars 2014 consid. 1.2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(TF 6B_202/2015 du 28 octobre 2015 consid. 2.2 et les références citées). En revanche, la partie appelante peut valablement renouveler en appel les réquisitions de preuve formulées devant le premier juge et qui ont été rejetées (TF 6B_202/2015 précité consid. 2.2; TF 6B_362/2012 du 29 octobre 2012 consid. 8.4.1).</w:t>
      </w:r>
    </w:p>
    <w:p>
      <w:r>
        <w:rPr>
          <w:b/>
        </w:rPr>
        <w:t>E. 2.1.2</w:t>
      </w:r>
    </w:p>
    <w:p>
      <w:r>
        <w:t>Tel qu'il est garanti à l'art. 29 al. 2 Cst. (Constitution fédérale de la Confédération suisse du 18 avril 1999; RS 101), le droit d'être entendu comprend celui de produire ou de faire administrer des preuves, mais à condition qu'elles soient pertinentes (ATF 142 I 86 consid. 2.2 et les références citées).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6B_1369/2016 du 20 juillet 2017 consid. 2.1 et les références citées). Le droit d'être entendu n'empêche ainsi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TF 6B_157/2017 du 25 octobre 2017 consid. 1.1).</w:t>
      </w:r>
    </w:p>
    <w:p>
      <w:r>
        <w:rPr>
          <w:b/>
        </w:rPr>
        <w:t>E. 2.2</w:t>
      </w:r>
    </w:p>
    <w:p>
      <w:r>
        <w:t>En première instance, l’appelant a requis à deux reprises l’audition de D.________. Ces requêtes ont toutes deux été refusées au motif que l’intéressé avait déjà été entendu par la police et qu’au vu de ses déclarations, il n’était pas nécessaire de le réentendre. Compte tenu de la jurisprudence précitée, la nouvelle requête d’audition de témoin présentée par H.________ en appel est recevable, malgré le pouvoir d’examen limité de l’autorité de céans. L’appelant soutient notamment qu’un véhicule tiers se serait intercalé devant le sien avant qu’il ait dû procéder au freinage, ce qui l’aurait contraint à dévier sur la bande d’arrêt d’urgence, sur laquelle circulait le chauffeur du camion qui l’a ensuite percuté. A l’appui de sa requête tendant à faire entendre D.________, l’appelant fait valoir que ce dernier serait susceptible de confirmer la présence du véhicule tiers précité. Cela étant, comme l’a justement relevé le premier juge, D.________ a déjà été entendu par la police. Il a précisé qu’à l’entrée de la zone de travaux, une voiture (celle de l’appelant) circulant sur la voie centrale s’était trouvée en présence d’un ralentissement sur sa voie, et que le conducteur avait fortement freiné et dévié à droite, ou effectué une manœuvre d’évitement en se déportant sur sa propre voie, à environ 5 mètres devant son camion. L’intéressé n’a aucunement fait mention d’un quelconque véhicule tiers, alors même qu’il se trouvait à quelques mètres derrière l’appelant. De surcroît, entendu par la police immédiatement après l’accident, l’appelant lui-même n’a pas non plus fait mention de ce prétendu véhicule tiers. Ce n’est que par la suite, lors de la procédure devant le préfet, et alors qu’il était assisté d’un avocat, que H.________ a évoqué ce véhicule. Or, il est invraisemblable qu’il n’ait pas immédiatement fait mention de ce fait à la police s’il estimait qu’il était à l’origine de sa manœuvre d’évitement, respectivement de l’accident. L’hypothèse de la présence d’un véhicule tiers n’est dès lors pas crédible et apparaît davantage comme un moyen de défense invoqué après coup. Dans ces conditions, il n’est pas nécessaire d’entendre à nouveau D.________, qui réside de surcroît en Italie et alors que près de deux ans se sont déroulés depuis les faits. L’appréciation anticipée des preuves à laquelle a procédé le premier juge ne prête dès lors pas le flanc à la critique. Le grief tiré de la violation du droit d’être entendu doit donc être rejeté, tout comme la réquisition de preuve à nouveau présentée en appel, les conditions de l’art. 389 al. 3 CPP n’étant pas réunies.</w:t>
      </w:r>
    </w:p>
    <w:p>
      <w:r>
        <w:rPr>
          <w:b/>
        </w:rPr>
        <w:t>E. 3</w:t>
      </w:r>
    </w:p>
    <w:p>
      <w:r>
        <w:t>L’appelant, tout en déclarant ne pas remettre en cause l’application de l’art. 44 al. 1 LCR (loi fédérale sur la circulation routière du 19 décembre 1958; RS 741.0), soutient avoir dû réagir dans l’urgence afin d’éviter un accident. Selon lui, sa manœuvre d’évitement ne serait pas fautive, puisqu’elle serait uniquement consécutive au fait qu’un véhicule tiers serait venu s’intercaler entre lui et le véhicule qui le précédait, d’avec lequel il avait conservé une distance suffisante. En définitive, il n’aurait pas eu le temps de prendre les précautions prévues à l’art. 34 al. 3 LCR et aurait au contraire voué toute son attention à la circulation, puisque s’il avait agi différemment, une collision en chaine se serait produite.</w:t>
      </w:r>
    </w:p>
    <w:p>
      <w:r>
        <w:rPr>
          <w:b/>
        </w:rPr>
        <w:t>E. 3.1.1</w:t>
      </w:r>
    </w:p>
    <w:p>
      <w:r>
        <w:t>A teneur de l'art. 90 ch. 1 LCR (loi fédérale sur la circulation routière du 19 décembre 1958; RS 741.01), celui qui aura violé les règles de la circulation fixées par la présente loi ou par les prescriptions émanant du Conseil fédéral sera puni de l'amende. Selon les art. 31 LCR et 3 al. 1 OCR (ordonnance sur les règles de la circulation routière du 13 novembre 1962; RS 741.11), le conducteur vouera son attention à la route et à la circulation. L’attention requise du conducteur implique notamment qu’il soit en mesure de parer rapidement aux dangers qui menacent la vie, l’intégrité corporelle ou les biens matériels d’autrui.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(ATF 103 IV 105 consid. 2b). Selon l'art. 34 al. 3 LCR, le conducteur qui veut modifier sa direction de marche, par exemple pour obliquer, dépasser, se mettre en ordre de présélection ou passer d'une voie à l'autre, est tenu d'avoir égard aux usagers de la route qui viennent en sens inverse ainsi qu'aux conducteurs qui le suivent. Selon l’art. 44 al. 1 LCR, sur les routes marquées de plusieurs voies pour une même direction, le conducteur ne peut passer d’une voie à une autre que s’il n’en résulte pas de danger pour les autres usagers de la route. Selon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w:t>
      </w:r>
    </w:p>
    <w:p>
      <w:r>
        <w:rPr>
          <w:b/>
        </w:rPr>
        <w:t>E. 3.1.2</w:t>
      </w:r>
    </w:p>
    <w:p>
      <w:r>
        <w:t>Le CP (Code pénal suisse du 21 décembre 1937; RS 311.0) distingue l’état de nécessité licite (art. 17 CP) de l’état de nécessité excusable (art. 18 CP). L’auteur qui se trouve en état de nécessité licite sauvegarde un bien d’une valeur supérieure au bien lésé et agit ainsi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ou impossible à détourner autrement (TF 6B_720/2007 du 29 mars 2008). Il suppose donc l’existence d’un danger imminent, soit actuel et concret (ATF 122 IV 1 consid. 3a), qui ne peut être détourné autrement. La subsidiarité est absolue. Elle constitue une condition à laquelle aucune exception ne peut être faite (TF 6S.529/2006 du 8 février 2007 consid. 4). Une violation des règles de la circulation peut être justifiée par l'état de nécessité, qu’elle ait été commise intentionnellement ou par négligence (Dupuis et al. [éd.], Petit commentaire, Code pénal, 2 e éd., Bâle 2017, n. 18 ad art. 17 CP; ATF 116 IV 364 consid. 1c, JdT 1991 I 739; ATF 106 IV 65 consid. 4, JdT 1980 I 431; ATF 106 IV 1, JdT 1980 I 452).</w:t>
      </w:r>
    </w:p>
    <w:p>
      <w:r>
        <w:rPr>
          <w:b/>
        </w:rPr>
        <w:t>E. 3.2</w:t>
      </w:r>
    </w:p>
    <w:p>
      <w:r>
        <w:t>En l’espèce, il est constant que H.________ n’a pas voué toute son attention à la circulation en empiétant sur la bande d’arrêt d’urgence quelques mètre devant le camion conduit par D.________, qui roulait plus vite et que, ce faisant, il a enfreint les art. 34 al. 3, 44 al. 1, 31 LCR et 3 al. 1 OCR. En invoquant avoir néanmoins dû agir de la sorte, dans l’urgence et sans avoir eu le temps de prendre les précautions qui se seraient imposées en temps normal, en raison d’un automobiliste qui se serait inséré dans la circulation devant lui, il se prévaut en réalité d’un état de nécessité. En l’occurrence, les biens juridiques en cause sont comparables, puisqu'il faut mettre en balance le danger ressenti par l’appelant pour sa vie et son intégrité corporelle – consistant à entrer en collision avec le véhicule qui se trouvait devant lui – avec le danger que son comportement risquait de causer à la vie et à l'intégrité corporelle des autres usagers de la route – soit de causer un accident impliquant les usagers de la route qui se trouvaient sur la bande d’arrêt d’urgence sur laquelle il s’est déporté. Seul entre donc en ligne de compte l'application de l'art. 18 CP. L’application de cette disposition suppose toutefois que l’auteur ait commis l'acte punissable pour se préserver d'un danger imminent et impossible à détourner autrement. Cette condition fait toutefois défaut en l’espèce. En effet, il n’est pas établi qu’un véhicule tiers se serait intercalé entre la voiture de l’appelant et le véhicule qui le précédait et cette version des faits n’est pas crédible en raison des motifs évoqués plus haut (cf. supra consid. 2.2). Il s’ensuit qu’en définitive, si H.________ s’est déporté sur la bande d’arrêt d’urgence pour ne pas percuter le véhicule qui le précédait, c’est qu’il n’a pas voué toute l’attention qu’il devait à la circulation en se laissant surprendre par le ralentissement du trafic, et/ou qu’il n’a pas conservé une distance de sécurité suffisante avec ledit véhicule. Quoi qu’il en soit, l’appelant ne saurait être mis au bénéfice de l’art. 18 CP, dès lors qu’il n’a pas pris les mesures qui auraient permis d'éviter l'état de nécessité dont il se prévaut (cf. TF 6B_772/2015 du 29 octobre 2015 consid. 2.3). C’est dès lors à bon droit que le tribunal de police a considéré qu’il s’était rendu coupable de violation simple de règles de la circulation routière pour avoir enfreint les art. 34 al. 3, 44 al. 1 LCR et 3 al. 1 LCR.</w:t>
      </w:r>
    </w:p>
    <w:p>
      <w:r>
        <w:rPr>
          <w:b/>
        </w:rPr>
        <w:t>E. 4</w:t>
      </w:r>
    </w:p>
    <w:p>
      <w:r>
        <w:t>Examinée d’office, l’amende prononcée ne prête pas le flanc à la critique et doit être confirmée. Elle n’est du reste pas contestée dans son montant.</w:t>
      </w:r>
    </w:p>
    <w:p>
      <w:r>
        <w:rPr>
          <w:b/>
        </w:rPr>
        <w:t>E. 5</w:t>
      </w:r>
    </w:p>
    <w:p>
      <w:r>
        <w:t>L’appelant, qui a succombé en première instance, s’est à juste titre vu condamné à assumer l’entier des frais de procédure, conformément à l’art. 426 al. 1 CPP et n’avait pas droit à une indemnité au sens de l’art. 429 CPP. Ses conclusions sur ce point doivent dès lors être rejetées.</w:t>
      </w:r>
    </w:p>
    <w:p>
      <w:r>
        <w:rPr>
          <w:b/>
        </w:rPr>
        <w:t>E. 6</w:t>
      </w:r>
    </w:p>
    <w:p>
      <w:r>
        <w:t>Au vu de ce qui précède, l’appel doit être rejeté et le jugement entrepris confirmé. Les frais de la procédure d’appel, constitués en l’espèce du seul émolument de jugement (art. 422 al. 1 CPP), par 720 fr. (art. 21 al. 1 TFIP [Tarif des frais de procédure et indemnités en matière pénale du 28 septembre 2010; BLV 312.03.1]), doivent être mis à la charge de l’appelant, qui succombe (art. 428 al. 1, 1 re phrase, CPP). Dans cette mesure, il n’a pas non plus droit à l’indemnité qu’il réclame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