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267 vom 17. Juli 2019</w:t>
      </w:r>
    </w:p>
    <w:p>
      <w:r>
        <w:t>VD Tribunal cantonal, 2019-07-17, FR</w:t>
      </w:r>
    </w:p>
    <w:p>
      <w:r>
        <w:rPr>
          <w:b/>
        </w:rPr>
        <w:t xml:space="preserve">Quelle: </w:t>
      </w:r>
      <w:r>
        <w:t>https://mcp.opencaselaw.ch/entscheid/vd_findinfo_Jug___2019___267</w:t>
      </w:r>
    </w:p>
    <w:p>
      <w:r>
        <w:t>FR: VD_FINDINFO Jug / 2019 / 267 du 17 juillet 2019</w:t>
      </w:r>
    </w:p>
    <w:p>
      <w:r>
        <w:t>IT: VD_FINDINFO Jug / 2019 / 267 del 17 luglio 2019</w:t>
      </w:r>
    </w:p>
    <w:p>
      <w:pPr>
        <w:pStyle w:val="Heading2"/>
      </w:pPr>
      <w:r>
        <w:t>Regeste</w:t>
      </w:r>
    </w:p>
    <w:p>
      <w:r>
        <w:t>DÉTENTION POUR DES MOTIFS DE SÛRETÉ, RISQUE DE RÉCIDIVE, EXPERTISE | 231 al. 1 CPP (CH), 231 al. 2 CPP (CH)</w:t>
      </w:r>
    </w:p>
    <w:p>
      <w:pPr>
        <w:pStyle w:val="Heading2"/>
      </w:pPr>
      <w:r>
        <w:t>Erwägungen</w:t>
      </w:r>
    </w:p>
    <w:p>
      <w:r>
        <w:rPr>
          <w:b/>
        </w:rPr>
        <w:t>E. 1.1</w:t>
      </w:r>
    </w:p>
    <w:p>
      <w:r>
        <w:t>Aux termes de l'art. 231 al. 2 CPP (Code de procédure pénale suisse du 5 octobre 2007 ; RS 312.0),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la juridiction d'appel devant statuer dans les cinq jours.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 Bâle 2011, n. 13 et 15 ad art. 231 CPP et les références citées ; CAPE 17 février 2017/94 ; CAPE 30 septembre 2011/166)</w:t>
      </w:r>
    </w:p>
    <w:p>
      <w:r>
        <w:rPr>
          <w:b/>
        </w:rPr>
        <w:t>E. 1.2</w:t>
      </w:r>
    </w:p>
    <w:p>
      <w:r>
        <w:t>En l'espèce, devant l’autorité de première instance, le Ministère public a notamment requis une peine de 4 ans de privation de liberté à l’encontre de R.________, soit une peine ferme, sensiblement supérieure à la peine de 36 mois dont 13 mois fermes, prononcée par le tribunal correctionnel. Il a en outre annoncé faire appel du jugement de première instance. Par conséquent, sa demande tendant au maintien de R.________ en détention pour des motifs de sûreté jusqu’à droit connu sur l’appel, présentée en temps utile,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2.2</w:t>
      </w:r>
    </w:p>
    <w:p>
      <w:r>
        <w:t>En l’occurrence, force est de constater que la condition relative à l’existence de soupçons suffisants de culpabilité à l’encontre de R.________ est réalisée à ce stade de la procédure. D’une part, il a admis pour l’essentiel les faits qui lui sont reprochés. D’autre part, l’autorité de première instance a acquis la conviction que l’intéressé s’était rendu coupable de ces faits.</w:t>
      </w:r>
    </w:p>
    <w:p>
      <w:r>
        <w:rPr>
          <w:b/>
        </w:rPr>
        <w:t>E. 3.1</w:t>
      </w:r>
    </w:p>
    <w:p>
      <w:r>
        <w:t>Il y a lieu d’examiner si R.________ présente un risque de réitération.</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3.3</w:t>
      </w:r>
    </w:p>
    <w:p>
      <w:r>
        <w:t>En l’occurrence, les faits reprochés à R.________ sont graves. Il a fait preuve d’une intense violence. Il s’en est pris physiquement à plusieurs personnes en les frappant à la tête. Les conséquences sur ses victimes, notamment sur [...] (cas 5 de l’acte d’accusation, non contesté), sont d’une extrême gravité et laisseront d’importantes séquelles. Il ressort en outre de l’expertise psychiatrique réalisée dans de cadre de l’instruction que R.________ présente un risque de récidive élevé, notamment s’agissant d’agressions physiques, en raison du fait qu’il s’agit d’une « modalité comportementale habituelle présentée par l’expertisé » (P. 105 p. 12 in fine ). Partant, les actes redoutés sont graves et le risque de réitération, bien réel, justifie le maintien de R.________ en détention jusqu’au jugement d’appel pour des motifs de sûreté.  Les conditions fixées à l’art. 221 al. 1 let. a à c sont des conditions alternatives et, partant, la réalisation d’une seule cause suffit.</w:t>
      </w:r>
    </w:p>
    <w:p>
      <w:r>
        <w:rPr>
          <w:b/>
        </w:rPr>
        <w:t>E. 4</w:t>
      </w:r>
    </w:p>
    <w:p>
      <w:r>
        <w:t>En définitive, le maintien de R.________ en détention pour des motifs de sûreté se justifie et doit être ordonné jusqu’au jugement de la Cour d’appel. Les frais du présent prononcé, par 720 fr. (art. 21 al. 1 TFIP [Tarif des frais de procédure et indemnités en matière pénale du 28 septembre 2010 ; BLV 312.03.1]), suivront ceux de la cause au fond.</w:t>
      </w:r>
    </w:p>
    <w:p>
      <w:r>
        <w:rPr>
          <w:b/>
        </w:rPr>
        <w:t>E. 4.1</w:t>
      </w:r>
    </w:p>
    <w:p>
      <w:r>
        <w:t>Dans ses déterminations du 24 juillet 2019, R.________ invoque le principe de la proportionnalité. Il rappelle qu’il a été condamné en première instance à une peine privative de liberté de 36 mois, dont 13 mois fermes et qu’il atteindra ces 13 mois de détention le 11 août prochain. Les débats d’appel, qui seront probablement fixés au-delà de cette échéance prolongeraient ainsi de manière disproportionnée sa détention.</w:t>
      </w:r>
    </w:p>
    <w:p>
      <w:r>
        <w:rPr>
          <w:b/>
        </w:rPr>
        <w:t>E. 4.2</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 ATF 132 I 21 consid. 4.1 ; ATF 107 Ia 256 consid. 2 et 3 et les références citées).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et les arrêts cités). Selon la jurisprudence, le juge de la détention – afin d'éviter qu'il n'empiète sur les compétences du juge du fond – ne tient notamment pas compte de la possibilité éventuelle de l'octroi d'un sursis par l'autorité de jugement (ATF 133 I 270 consid. 3.4.3). La possibilité d'une libération conditionnelle n'a en principe pas à être prise en compte pour juger de la proportionnalité de la détention préventive (ATF 125 I 60 consid. 3d). On ne saurait en effet exiger du juge de la détention qu'il suppute non seulement la durée de la peine pouvant éventuellement être prononcée, mais le résultat de l'appréciation qui incombera, le cas échéant, à l'autorité compétente pour décider de la libération conditionnelle, dont l'octroi dépend aussi du bon comportement en détention et du pronostic qui peut être posé quant au comportement futur du condamné en liberté (TF 1B_641/2011 du 25 novembre 2011 consid. 3.1). Il n'y a d'exception à cette règle que si une appréciation des circonstances concrètes permet d'aboutir d'emblée à la conclusion que les conditions de la libération conditionnelle sont réalisées (TF 1B_641/2011 du 25 novembre 2011 consid. 3.1).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 forts soupçons » au sens de l'art. 221 al. 1 CPP, il y a lieu de déterminer, sur le vu de l'ensemble des circonstances pertinentes, soit en particulier compte tenu des considérants du jugement de première instance et des arguments soulevés à l'appui de l’appel, si la démarche de l'accusation est susceptible d'aboutir, avec une vraisemblance suffisante, à une reformatio in pejus (TF 1B_43/2013 du 1 er mars 2013 consid. 4 ; TF 1B_600/2011 du 7 novembre 2011 consid. 2.3 ; TF 1B_525/2011 du 13 octobre 2011 consid. 3.2 ; TF 1B_482/2011 du 4 octobre 2011 consid. 2.2).</w:t>
      </w:r>
    </w:p>
    <w:p>
      <w:r>
        <w:rPr>
          <w:b/>
        </w:rPr>
        <w:t>E. 4.3</w:t>
      </w:r>
    </w:p>
    <w:p>
      <w:r>
        <w:t>En l’occurrence, les premiers juges ont condamné le prévenu à une peine privative de liberté de 36 mois, dont 13 mois fermes. Certes, R.________ aura atteint ces 13 mois le 11 août 2019 et les débats d’appel seront très probablement fixés après cette échéance. Toutefois, selon la jurisprudence, lors de l’examen de la détention pour des motifs de sûreté le juge ne tient pas compte de l’éventuel octroi du sursis. Partant, le principe de la proportionnalité demeure donc respecté dès lors que la peine prononcée par les premiers juges est de 36 mois. On rappellera en outre que dans son annonce d’appel, le Ministère public a indiqué que son appel porterait principalement sur la peine entièrement ferme qu’il avait requise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