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249 vom 6. Juni 2019</w:t>
      </w:r>
    </w:p>
    <w:p>
      <w:r>
        <w:t>VD Tribunal cantonal, 2019-06-06, FR</w:t>
      </w:r>
    </w:p>
    <w:p>
      <w:r>
        <w:rPr>
          <w:b/>
        </w:rPr>
        <w:t xml:space="preserve">Quelle: </w:t>
      </w:r>
      <w:r>
        <w:t>https://mcp.opencaselaw.ch/entscheid/vd_findinfo_Jug___2019___249</w:t>
      </w:r>
    </w:p>
    <w:p>
      <w:r>
        <w:t>FR: VD_FINDINFO Jug / 2019 / 249 du 6 juin 2019</w:t>
      </w:r>
    </w:p>
    <w:p>
      <w:r>
        <w:t>IT: VD_FINDINFO Jug / 2019 / 249 del 6 giugno 2019</w:t>
      </w:r>
    </w:p>
    <w:p>
      <w:pPr>
        <w:pStyle w:val="Heading2"/>
      </w:pPr>
      <w:r>
        <w:t>Regeste</w:t>
      </w:r>
    </w:p>
    <w:p>
      <w:r>
        <w:t>DÉTENTION POUR DES MOTIFS DE SÛRETÉ, RISQUE DE FUITE | 221 al. 1 let. a CPP (CH), 233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CPP).</w:t>
      </w:r>
    </w:p>
    <w:p>
      <w:r>
        <w:rPr>
          <w:b/>
        </w:rPr>
        <w:t>E. 1.2</w:t>
      </w:r>
    </w:p>
    <w:p>
      <w:r>
        <w:t>En l’espèce, S.________ a sollicité sa libération durant la procédure d’appel, de sorte que sa demande est recevable.</w:t>
      </w:r>
    </w:p>
    <w:p>
      <w:r>
        <w:rPr>
          <w:b/>
        </w:rPr>
        <w:t>E. 2.1</w:t>
      </w:r>
    </w:p>
    <w:p>
      <w:r>
        <w:t>Le recourant soutient qu’aucun risque de fuite concret n’existe à son encontre. Il critique l’arrêt de la Chambre des recours pénale, qui se serait écartée à tort de l’arrêt du Tribunal fédéral 1B_75/2019 du 7 mars 2019, qui avait retenu ce qui suit : « Certes, avec la juridiction précédente, il y a lieu de relever que les faits reprochés au recourant sont très graves et qu'une lourde peine privative de liberté sera vraisemblablement prononcée à son encontre, perspective qui se rapproche vu la proximité de l'audience de jugement. Les circonstances d'espèce ne permettent toutefois pas de retenir l'existence d'un risque de fuite concret, eu égard en particulier à l'importance des attaches du recourant avec la Suisse. En effet, le recourant ne dispose que de la nationalité de cet État. En cas de départ pour un autre pays, il ne pourrait ainsi en principe pas obtenir des papiers d'identité auprès d'autorités étrangères. Ce faisant, il serait contraint de vivre dans la clandestinité, situation guère envisageable autrement qu'à court terme pour une personne âgée de 81 ans et dont l'état de santé requiert la prise régulière de différents médicaments. Cette appréciation vaut d'autant plus que le recourant ne dispose d'aucune autre ressource financière que sa rente AVS. Il ne paraît pas non plus avoir d'autre contact à l'étranger que sa fille résidant en France; faute de pouvoir se prévaloir de la nationalité de ce pays, le recourant pourrait donc faire l'objet d'une demande d'extradition. Enfin, une éventuelle absence lors des audiences de jugement ne permettrait pas au recourant de venir défendre la thèse soutenue à ce jour, à savoir que sa fille - co-prévenue et contre qui le chef de prévention d'assassinat est aussi retenu - n'aurait pas participé à l'ensemble des actes commis par son père; eu égard à cette configuration particulière, le recourant ne semble donc pas non plus se trouver dans une situation où il n'aurait absolument plus rien à perdre. Au regard de ces considérations, la cour cantonale viole le droit fédéral en retenant l'existence d'un risque de fuite et ce grief doit être admis. » S.________ ajoute que dans son appel formé à l’encontre du jugement du 6 juin 2019, il continue à soutenir vigoureusement que sa fille n’a pas participé à l’homicide de sa mère. Dans ce sens, une absence de sa part à l’audience d’appel ne lui permettrait pas de défendre sa thèse, de sorte qu’il serait parfaitement faux de retenir qu’il se trouve aujourd’hui dans une situation où il n’a plus rien à perdre. En outre, il aurait toutes ses attaches en Suisse, soit sa sœur et son fils.</w:t>
      </w:r>
    </w:p>
    <w:p>
      <w:r>
        <w:rPr>
          <w:b/>
        </w:rPr>
        <w:t>E. 2.2</w:t>
      </w:r>
    </w:p>
    <w:p>
      <w:r>
        <w:t>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Le risque de fuite au sens de l’art. 221 al. 1 let. a CPP est réputé réalisé lorsque les circonstances concrètes font apparaître que le prévenu tentera vraisemblablement de se soustraire à la poursuite judiciaire ou à l'exécution d'une peine (ATF 106 Ia 404,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w:t>
      </w:r>
    </w:p>
    <w:p>
      <w:r>
        <w:rPr>
          <w:b/>
        </w:rPr>
        <w:t>E. 2.3</w:t>
      </w:r>
    </w:p>
    <w:p>
      <w:r>
        <w:t>Dans son arrêt du 28 juin 2019, la Chambre des recours pénale a retenu le risque de fuite pour les motifs suivants : le Tribunal criminel a statué sur la culpabilité de S.________ et l’a condamné à une peine privative de liberté de 18 ans pour assassinat et atteinte à la paix des morts, de sorte que sa lourde peine est désormais connue et que son exécution doit être garantie, ce alors même qu’elle n’est pas encore définitive ; la thèse qu’il soutenait, selon laquelle sa fille n’aurait pas participé à l’ensemble des actes qu’il a commis, n’a pas été retenue par les premiers juges, de sorte que l’on peut désormais admettre que le recourant se trouverait dans une situation où il n’aurait plus rien à perdre ; le tribunal ayant statué sur sa culpabilité, qualifiée de très lourde, il serait très vraisemblablement tenté de prendre la fuite ou d’entrer dans la clandestinité en cas de libération pour échapper à l’exécution de la peine prononcée, ce d’autant que, excepté sa fille T.________, sa sœur [...] est sa seule attache en Suisse, qu’il est demeuré en contact régulier avec sa fille [...], domiciliée en France, durant toute sa détention provisoire et que la circulation des personnes au sein de l’espace Schengen est facilitée par l’absence de contrôle d’identité aux frontières. Son âge avancé et les quelques médicaments qui lui sont nécessaires ne vont pas le dissuader, en cas de libération, de quitter le territoire suisse. Le risque de fuite de S.________ est donc bien concret. La Cour de céans ne peut que suivre cette appréciation, aucun élément nouveau ne venant remettre en question les considérations développées dans l’arrêt précité. En particulier, la thèse soutenue par le requérant, selon laquelle sa fille n’aurait pas participé à l’homicide de sa mère, n’a pas été retenue par les premiers juges. Ainsi, la situation qui prévalait lors de la reddition de l’arrêt du Tribunal fédéral 1B_75/2019 du 7 mars 2019 a changé. Certes, S.________ a formé appel contre le jugement du 6 juin 2019. Toutefois, l’exécution de la lourde peine à laquelle il a été condamné doit être garantie. On relèvera en outre l’incohérence dont fait preuve le requérant. En effet, dans son appel, l’intéressé conclut à une réduction de peine, celle-ci ne devant pas dépasser 8 ans. Autrement dit, il admet devoir purger 8 ans de peine privative de liberté, mais requiert sa mise en liberté, ce qui apparaît incohérent. Quoi qu’il en soit, au vu de la quotité de la peine qui lui a été infligée, il est très vraisemblable qu’en cas de libération, pour échapper à l’exécution de cette peine, S.________, qui n’aurait plus rien à perdre, sa fille, avec qui il entretient des liens très forts, étant en l’état condamnée à 20 ans de prison, soit tenté de prendre la fuite à l’étranger, dans l’espace Schengen, que ce soit ou non en France où vit son autre fille, ou d’entrer dans la clandestinité en Suisse. Par conséquent, le risque de fuite est concret. 3. 3.1 S.________ soutient que des mesures de substitution, à savoir l’obligation de résider au domicile de sa sœur [...] à Versoix, l’obligation de se présenter au poste de police de Versoix toutes les 24 heures, à 9h00, et l’obligation de porter un bracelet électronique, supprimeraient le risque de fuite. 3.2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pour des mesures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2011,op. cit., n. 2 ad art. 237 CPP). 3.3 Là encore, il n’y a pas lieu de s’écarter de l’appréciation faite par la Chambre des recours pénale dans son arrêt du 28 juin 2019. En effet, aucune des mesures proposées ne permet de pallier le risque de fuite retenu. Certes, le requérant a sa sœur et son fils en Suisse. Toutefois, la personne avec qui il entretient des liens très profonds, soit sa fille T.________, est, en l’état, condamnée à 20 ans de peine privative de liberté. Par conséquent, la mise en œuvre des mesures de substitution proposées ne dissuaderait pas l’intéressé de quitter la Suisse, ce qui, pour une personne déterminée, est tout à fait possible même avec peu ou pas de moyens et même à un âge avancé – étant rappelé que, selon le jugement de première instance, le requérant a trouvé les ressources nécessaires pour tuer son épouse et se débarrasser du corps –, voire d’entrer dans la clandestinité, pour se soustraire à la justice et pour éviter de purger une peine privative de liberté de 18 ans. 4. En définitive, le maintien de S.________ en détention pour des motifs de sûreté se justifie et sa requête tendant à sa mise en liberté doit être rejetée. Les frais du présent prononcé, comprenant l’indemnité du défenseur d’office de S.________, seront fixés dans le jugement au fond.</w:t>
      </w:r>
    </w:p>
    <w:p>
      <w:r>
        <w:rPr>
          <w:b/>
        </w:rPr>
        <w:t>E. 5</w:t>
      </w:r>
    </w:p>
    <w:p>
      <w:r>
        <w:t>septembre 2011 consid. 3.1). La gravité de l’infraction permet souvent de présumer un danger de fuite en raison de l’importance de la peine dont le prévenu est menacé (ATF 125 I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