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242 vom 25. Februar 2019</w:t>
      </w:r>
    </w:p>
    <w:p>
      <w:r>
        <w:t>VD Tribunal cantonal, 2019-02-25, FR</w:t>
      </w:r>
    </w:p>
    <w:p>
      <w:r>
        <w:rPr>
          <w:b/>
        </w:rPr>
        <w:t xml:space="preserve">Quelle: </w:t>
      </w:r>
      <w:r>
        <w:t>https://mcp.opencaselaw.ch/entscheid/vd_findinfo_Jug___2019___242</w:t>
      </w:r>
    </w:p>
    <w:p>
      <w:r>
        <w:t>FR: VD_FINDINFO Jug / 2019 / 242 du 25 février 2019</w:t>
      </w:r>
    </w:p>
    <w:p>
      <w:r>
        <w:t>IT: VD_FINDINFO Jug / 2019 / 242 del 25 febbraio 2019</w:t>
      </w:r>
    </w:p>
    <w:p>
      <w:pPr>
        <w:pStyle w:val="Heading2"/>
      </w:pPr>
      <w:r>
        <w:t>Regeste</w:t>
      </w:r>
    </w:p>
    <w:p>
      <w:r>
        <w:t>CONSTATATION DES FAITS, MOTIVATION DE LA DÉCISION, PRINCIPE DE L'ACCUSATION, DISTANCE ENTRE VÉHICULES, CIRCULATION ROUTIÈRE{DROIT DE LA CIRCULATION ROUTIÈRE}, LOI FÉDÉRALE SUR LA CIRCULATION ROUTIÈRE | 34 al. 4 LCR, 90 al. 2 LCR, 8 al. 1 let. h OOCCR-OFROU</w:t>
      </w:r>
    </w:p>
    <w:p>
      <w:pPr>
        <w:pStyle w:val="Heading2"/>
      </w:pPr>
      <w:r>
        <w:t>Erwägungen</w:t>
      </w:r>
    </w:p>
    <w:p>
      <w:r>
        <w:rPr>
          <w:b/>
        </w:rPr>
        <w:t>E. 1</w:t>
      </w:r>
    </w:p>
    <w:p>
      <w:r>
        <w:t>Interjeté dans les formes et délais légaux par le prévenu ayant la qualité pour recourir contre le jugement du tribunal de première instance qui a clos la procédure (art. 398 al. 1 CPP [Code de procédure pénale suisse du 5 octobre 2007 ; RS 312.0]), l’appel formé par P.________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L’appelant reproche au premier juge d’avoir retenu qu’il avait « talonné » la BMW qui le précédait sur une distance de 300 mètres, sans expliquer les motifs pour lesquels il écartait ses propres déclarations qui faisaient état d’une distance de 150 mètres. Il soutient que le jugement serait dès lors insuffisamment motivé sur ce point et y voit une violation de son droit d’être entendu.</w:t>
      </w:r>
    </w:p>
    <w:p>
      <w:r>
        <w:rPr>
          <w:b/>
        </w:rPr>
        <w:t>E. 3.2</w:t>
      </w:r>
    </w:p>
    <w:p>
      <w:r>
        <w:t>Le droit d'être entendu, garanti par les art. 3 al. 2 let. c CPP, 29 al. 2 Cst. (Constitution fédérale de la Confédération suisse du 18 avril 1999 ; RS 101) et 6 par. 1 CEDH (Convention de sauvegarde des droits de l’homme et des libertés fondamentales du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CPP, 2 e éd., Bâle 2016, nn. 6 ss ad art. 80 CPP). En règle générale, il appartient à la juridiction d'appel de corriger les erreurs commises par le tribunal de première instance dans l'établissement des faits et l'application du droit (art. 408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(ATF 143 IV 408 consid. 6).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rPr>
          <w:b/>
        </w:rPr>
        <w:t>E. 3.3</w:t>
      </w:r>
    </w:p>
    <w:p>
      <w:r>
        <w:t>En l’espèce, il est vrai que le premier juge n’a pas expressément indiqué pour quel motif il retenait que l’appelant avait suivi le véhicule qui le précédait sur une distance de 300 mètres. On comprend toutefois que le tribunal s’est fondé sur les indications figurant dans le rapport de police qu’il a jugées plus crédibles que les déclarations de l’appelant. De toute manière, l’appelant a eu la possibilité de s’exprimer sur cette question en appel et peut obtenir une décision motivée de la Cour de céans, qui dispose d’un pouvoir d’examen complet en fait et en droit (art. 398 al. 3 CPP). Supposée avérée, une violation du droit d’être entendu de l’appelant serait ainsi réparée dans le cadre de la procédure d’appel. Le moyen doit donc être rejeté.</w:t>
      </w:r>
    </w:p>
    <w:p>
      <w:r>
        <w:rPr>
          <w:b/>
        </w:rPr>
        <w:t>E. 4.1</w:t>
      </w:r>
    </w:p>
    <w:p>
      <w:r>
        <w:t>L’appelant se prévaut d’une constatation incomplète et erronée des faits, d’une violation de la présomption d’innocence et de la maxime de l’instruction. Il conteste ainsi la vitesse de 120 km/h, la distance de 6 mètres entre les véhicules ainsi que la distance de 300 mètres parcourue qui ont été retenues par le premier juge.</w:t>
      </w:r>
    </w:p>
    <w:p>
      <w:r>
        <w:rPr>
          <w:b/>
        </w:rPr>
        <w:t>E. 4.2</w:t>
      </w:r>
    </w:p>
    <w:p>
      <w:r>
        <w:t>En vertu de l'art. 6 CPP, les autorités pénales recherchent d'office tous les faits pertinents pour la qualification de l'acte et le jugement du prévenu (al. 1). Elles instruisent avec un soin égal les circonstances qui peuvent être à la charge et à la décharge du prévenu (al. 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et les références citées). Si le principe de la libre appréciation des preuves interdit d’attribuer d’entrée de cause une force probante accrue à certains moyens de preuve, comme par exemple des rapports de police (TF 6B_55/2018 du 17 mai 2018 consid. 1.1 ; TF 6B_146/2016 du 22 août 2016 consid. 4.1 ; TF 6B_353/2015 du 14 décembre 2015 consid. 2), on ne saurait cependant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retranscrites (TF 6B_55/2018 précité consid. 1.1 ; TF 6B_753/2016 du 24 mars 2017 consid. 1.2 ; TF 6B_750/2010 du 5 mai 2011 consid. 2.2).</w:t>
      </w:r>
    </w:p>
    <w:p>
      <w:r>
        <w:rPr>
          <w:b/>
        </w:rPr>
        <w:t>E. 4.3.1</w:t>
      </w:r>
    </w:p>
    <w:p>
      <w:r>
        <w:t>La vitesse de 120 km/h Comme l’appelant le relève lui-même dans ses écritures, la vitesse de 120 km/h ressort aussi bien du rapport de police (P. 4) que de ses propres déclarations (PV aud. 1 et 3 ll 53 ss). Le premier juge pouvait donc, sans mesure d’instruction complémentaire, retenir que lorsque l’infraction s’est déroulée, l’appelant circulait à une vitesse de 120 km/h au compteur. Il est vrai en revanche que l’appelant n’a pu donner cette indication que sur la base de ce qu’il a pu constater sur le compteur de sa voiture. On ignore par ailleurs si le véhicule de la police était équipé d’un système de mesure calibré. On peut donc donner raison à l’appelant lorsqu’il soutient qu’il faut réduire la vitesse constatée de 15 % en application, par analogie, de l’art. 8 al. 1 let. i OOCCR-OFROU (ordonnance de l'Office fédéral des routes concernant l'ordonnance sur le contrôle de la circulation routière ; RS 741.013.1) qui stipule qu’en cas de mesure de vitesse effectuée au moyen d’un véhicule suiveur sans système calibré, il faut déduire une marge de sécurité de 15 % pour une valeur mesurée à partir de 101 km/h. On retiendra donc qu’au moment des faits, l’appelant roulait à une vitesse d’environ 100 km/h.</w:t>
      </w:r>
    </w:p>
    <w:p>
      <w:r>
        <w:rPr>
          <w:b/>
        </w:rPr>
        <w:t>E. 4.3.2</w:t>
      </w:r>
    </w:p>
    <w:p>
      <w:r>
        <w:t>La distance de 6 mètres entre les deux véhicules L’appelant soutient en substance qu’à une vitesse de 100 km/h, les agents de police ne pouvaient humainement pas estimer, à 3 mètres près et sur la base des seules lignes de guidage au sol, la distance qui séparait les deux véhicules. Il fait en outre valoir que si une distance devait malgré tout être retenue, il s’agirait de la distance de 12 mètres. Le rapport de police établi le 7 mai 2018 précise que l’appelant s’est placé derrière la voiture qui le précédait à une distance inférieure à 3 mètres (P. 4 p. 2). Entendus par le Procureur le 1 er octobre 2018, les deux agents ont précisé que pour estimer cette distance, ils avaient pris appui sur la longueur des lignes de guidage au sol, qui mesurent 6 mètres, et des espaces entre celles-ci, qui mesurent 12 mètres (PV aud. 2 l. 69). La référence à ces éléments de mesure objectifs suffit pour écarter tout doute quant à la fiabilité de l’évaluation des policiers, même à une vitesse de 100 km/h. On ne voit du reste pas pourquoi les dénonciateurs, agents publics assermentés, auraient indiqué une distance inférieure à 3 mètres dans leur rapport s’ils n’avaient pas été sûrs de leur estimation. On le voit d’autant moins que l’appelant a lui-même reconnu, lors de sa première audition intervenue juste après les faits, qu’il devait effectivement être à une distance de 2 à 3 mètres derrière la BMW qui le précédait (PV aud. 1). L’appelant est certes revenu par la suite sur ses premières déclarations en prétendant que tout avait été rédigé à sa place et qu’il ignorait qu’il pouvait refuser de signer (cf notamment jugement p. 3, ainsi que ses déclarations durant l’audience d’appel). Cette allégation a toutefois été catégoriquement réfutée par les deux agents, qui ont confirmé avoir retranscrit mot pour mot ce que l’appelant avait déclaré lors de son audition (PV aud. 2 l. 65). Au demeurant, si la police avait réellement rédigé elle-même les déclarations de l’appelant, nul doute qu’elle en aurait profité pour indiquer qu’il avait suivi le véhicule qui le précédait sur une distance de 300 mètres, comme indiqué dans le rapport, et non pas de 150 mètres, comme indiqué dans le procès-verbal d’audition. Les rétractations de l’appelant ne sont dès lors aucunement crédibles. Il s’ensuit que le premier juge aurait très bien pu retenir, sur la base du rapport de police et des premiers aveux de l’appelant, que ce dernier avait suivi le véhicule qui le précédait à une distance inférieure à 3 mètres. Il a toutefois considéré qu’une marge d’erreur de 3 mètres était possible, compte tenu de l’angle de vue des policiers. On s’en tiendra donc à cette appréciation, à savoir qu’une distance de 6 mètres séparait les deux véhicules au moment des faits. Le moyen doit en tous les cas être rejeté.</w:t>
      </w:r>
    </w:p>
    <w:p>
      <w:r>
        <w:rPr>
          <w:b/>
        </w:rPr>
        <w:t>E. 4.3.3</w:t>
      </w:r>
    </w:p>
    <w:p>
      <w:r>
        <w:t>La distance de 300 mètres parcourue par l’appelant L’appelant conteste encore la distance de 300 mètres sur laquelle il aurait suivi le véhicule qui le précédait, soutenant qu’il aurait parcouru seulement 150 mètres derrière la BMW avant que celle-ci ne se rabatte sur la voie de droite. Contrairement à ce qu’il affirme, l’appelant n’a pas toujours été constant dans ses déclarations s’agissant de la distance parcourue. S’il a en effet indiqué, lors de sa première audition, qu’il s’agissait d’une distance de 150 mètres (PV aud. 1), il a en revanche déclaré, lors de son audition par le procureur, qu’il avait suivi le véhicule qui le précédait sur une distance comprise entre 150 et 300 mètres (PV aud. 3 ll 53 ss) laissant ainsi entendre que la distance indiquée par la police dans son rapport pouvait être correcte. Lors de leur audition, les deux policiers ont quant à eux uniquement relevé que l’appelant avait initialement reconnu avoir circulé à 2 ou 3 mètres derrière la BMW, sur une distance de 150 mètres, sans pour autant admettre que cette dernière distance était correcte (PV aud. 2 ll 61 ss). Enfin, on ne voit là aussi pas pourquoi les deux dénonciateurs, assermentés, auraient volontairement menti sur la distance parcourue par l’appelant. Il n’y a donc en définitive aucune raison de s’écarter des constatations mentionnées dans le rapport de police qui précise que l’appelant a circulé à une distance inférieure à 3 mètres du véhicule qui le précédait sur plus de 300 mètres. Le moyen doit donc également être rejeté.</w:t>
      </w:r>
    </w:p>
    <w:p>
      <w:r>
        <w:rPr>
          <w:b/>
        </w:rPr>
        <w:t>E. 4.3.4</w:t>
      </w:r>
    </w:p>
    <w:p>
      <w:r>
        <w:t>En conclusion, il y a lieu de retenir que l’appelant a talonné le véhicule qui le précédait à 6 mètres de distance et sur une distance de 300 mètres à une vitesse de 100 km/h.</w:t>
      </w:r>
    </w:p>
    <w:p>
      <w:r>
        <w:rPr>
          <w:b/>
        </w:rPr>
        <w:t>E. 5.1</w:t>
      </w:r>
    </w:p>
    <w:p>
      <w:r>
        <w:t>L’appelant conteste la qualification d’infraction grave à la LCR (loi fédérale sur la circulation routière du 19 décembre 1958 ; RS 741.01) retenue par le premier juge.</w:t>
      </w:r>
    </w:p>
    <w:p>
      <w:r>
        <w:rPr>
          <w:b/>
        </w:rPr>
        <w:t>E. 5.2</w:t>
      </w:r>
    </w:p>
    <w:p>
      <w:r>
        <w:t>Aux termes de l'art. 90 al. 1 LCR, celui qui viole les règles de la circulation prévues par la présente loi ou par les dispositions d'exécution émanant du Conseil fédéral est puni de l'amende. Conformément à l'art. 90 al. 2 LCR, celui qui, par une violation grave d'une règle de la circulation, crée un sérieux danger pour la sécurité d'autrui ou en prend le risque est puni d'une peine privative de liberté de trois ans au plus ou d'une peine pécuniaire.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TF 6B_1300/2016 du 5 décembre 2017 consid. 2 non publié aux ATF 143 IV 500). Plus la violation de la règle de la circulation est objectivement grave, plus on admettra l'existence d'une absence de scrupule, sauf indice particulier permettant de retenir le contraire (ATF 142 IV 93 consid. 3.1). L'art. 34 al. 4 LCR prévoit que le conducteur doit observer une distance suffisante notamment lorsque des véhicules se suivent. Cette disposition est concrétisée à l'art. 12 al. 1 OCR (ordonnance sur les règles de la circulation routière du 13 novembre 1962 ; RS 741.11),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(TF 6B_110/2017 du 12 octobre 2017 consid. 2.1). Ce qu'il faut comprendre par « distance suffisante » au sens de l'art. 34 al. 4 LCR doit être déterminé au regard de toutes les circonstances, telles qu’en particulier la configuration des lieux, la densité du trafic, la visibilité et le véhicule en cause. Il n'y a pas de règle générale développée par la jurisprudence qui indiquerait à partir de quelle distance une violation des règles de la circulation pourrait être retenue. Les règles des deux secondes ou du « demi compteur » (correspondant à un intervalle de 1,8 secondes) constituent cependant des standards minimaux habituellement reconnus (ATF 131 IV 133 consid. 3.1 ; TF 6B_110/2017 du 12 octobre 2017, consid. 2.1). Sur une autoroute, la règle du « 1/6 compteur », respectivement de l’intervalle de 0,6 secondes, peut être utilisée pour déterminer si l’infraction doit être qualifiée de grave (ATF 131 IV 133 consid. 3.2.2 ; TF 6B_92/2015 du 27 mai 2015 consid. 1.3.1 ; TF 6B_1382/2017 du 28 juin 2018, consid. 3.3.2).</w:t>
      </w:r>
    </w:p>
    <w:p>
      <w:r>
        <w:rPr>
          <w:b/>
        </w:rPr>
        <w:t>E. 5.3</w:t>
      </w:r>
    </w:p>
    <w:p>
      <w:r>
        <w:t>En l’espèce, l’appelant a talonné la BMW qui le précédait sur l’autoroute sur une distance de 300 mètres en ne laissant qu’un espace de 6 mètres entre les deux véhicules alors qu’il circulait à 100 km/h. Cet espace de 6 mètres est très largement inférieur à celui à partir duquel la jurisprudence admet l’existence d’une violation grave des règles de la circulation routière (1/6 de 100 = 16,6 m). Ce comportement était en l’occurrence d’autant plus dangereux que, de l’aveu même de l’appelant (jugement p. 3), la circulation était alors très dense, ce qui implique que des ralentissements étaient susceptibles d’intervenir à tout moment. Or à une distance aussi réduite, la collision était garantie au moindre freinage du véhicule précédent. Le risque majeur d’accident que l’appelant a ainsi fait courir aux autres usagers de la route n’a par ailleurs pas pu lui échapper. Sa condamnation pour violation grave des règles de circulation routière est par conséquent justifiée.</w:t>
      </w:r>
    </w:p>
    <w:p>
      <w:r>
        <w:rPr>
          <w:b/>
        </w:rPr>
        <w:t>E. 6</w:t>
      </w:r>
    </w:p>
    <w:p>
      <w:r>
        <w:t>L’appelant ne conteste la peine prononcée contre lui qu’en raison de sa contestation des faits et de la qualification juridique retenus. Vérifiée d’office, la peine pécuniaire de 30 jour-amende à 30 fr. le jour auxquels s’ajoute une amende de 240 fr. à titre de sanction immédiate sont adéquates et conformes à la culpabilité du prévenu. La Cour de céans fait ainsi sienne la motivation complète et convaincante du premier juge, à laquelle il est renvoyé (art. 82 al. 4 CPP).</w:t>
      </w:r>
    </w:p>
    <w:p>
      <w:r>
        <w:rPr>
          <w:b/>
        </w:rPr>
        <w:t>E. 7.1</w:t>
      </w:r>
    </w:p>
    <w:p>
      <w:r>
        <w:t>L’appelant sollicite l’octroi d’une indemnité fondée sur l’art. 429 CPP à hauteur de 5'521 fr. 35.</w:t>
      </w:r>
    </w:p>
    <w:p>
      <w:r>
        <w:rPr>
          <w:b/>
        </w:rPr>
        <w:t>E. 7.2</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w:t>
      </w:r>
    </w:p>
    <w:p>
      <w:r>
        <w:rPr>
          <w:b/>
        </w:rPr>
        <w:t>E. 7.3</w:t>
      </w:r>
    </w:p>
    <w:p>
      <w:r>
        <w:t>Dans la mesure où la condamnation de l’appelant est confirmée, l’octroi d’une indemnité fondée sur l’art. 429 CPP est exclue. Partant, la conclusion de l’appelant prise en ce sens doit être rejetée.</w:t>
      </w:r>
    </w:p>
    <w:p>
      <w:r>
        <w:rPr>
          <w:b/>
        </w:rPr>
        <w:t>E. 8</w:t>
      </w:r>
    </w:p>
    <w:p>
      <w:r>
        <w:t>Au vu de ce qui précède, l’appel d’P.________ doit être rejeté et le jugement attaqué confirmé. Vu l’issue de la cause, les frais de la procédure d’appel, constitués de l’émolument de jugement et d’audience, par 1’940 fr. (art. 21 al. 1 et 2 TFIP [tarif des frais de procédure et indemnités en matière pénale du 28 septembre 2010 ; BLV 312.03.1]), seront mis à la charge de P.________, qui succombe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