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241 vom 9. Februar 2018</w:t>
      </w:r>
    </w:p>
    <w:p>
      <w:r>
        <w:t>VD Tribunal cantonal, 2018-02-09, FR</w:t>
      </w:r>
    </w:p>
    <w:p>
      <w:r>
        <w:rPr>
          <w:b/>
        </w:rPr>
        <w:t xml:space="preserve">Quelle: </w:t>
      </w:r>
      <w:r>
        <w:t>https://mcp.opencaselaw.ch/entscheid/vd_findinfo_Jug___2019___241</w:t>
      </w:r>
    </w:p>
    <w:p>
      <w:r>
        <w:t>FR: VD_FINDINFO Jug / 2019 / 241 du 9 février 2018</w:t>
      </w:r>
    </w:p>
    <w:p>
      <w:r>
        <w:t>IT: VD_FINDINFO Jug / 2019 / 241 del 9 febbraio 2018</w:t>
      </w:r>
    </w:p>
    <w:p>
      <w:pPr>
        <w:pStyle w:val="Heading2"/>
      </w:pPr>
      <w:r>
        <w:t>Regeste</w:t>
      </w:r>
    </w:p>
    <w:p>
      <w:r>
        <w:t>MESURE DE SUBSTITUTION À LA DÉTENTION, RISQUE DE FUITE, RISQUE DE RÉCIDIVE, PROPORTIONNALITÉ | 212 al. 3 CPP (CH), 221 al. 1 let. a CPP (CH), 221 al. 1 let. c CPP (CH), 237 CPP (CH)</w:t>
      </w:r>
    </w:p>
    <w:p>
      <w:pPr>
        <w:pStyle w:val="Heading2"/>
      </w:pPr>
      <w:r>
        <w:t>Erwägungen</w:t>
      </w:r>
    </w:p>
    <w:p>
      <w:r>
        <w:rPr>
          <w:b/>
        </w:rPr>
        <w:t>E. 1.1</w:t>
      </w:r>
    </w:p>
    <w:p>
      <w:r>
        <w:t>Dès que la juridiction d'appel est saisie (art. 399 al. 2 CPP [Code de procédure pénale suisse du 5 octobre 2007; RS 312.0]), les art. 231 à 233 CPP confèrent à la direction de la procédure de cette juridiction différentes compétences en matière de détention pour des motifs de sûreté.</w:t>
      </w:r>
    </w:p>
    <w:p>
      <w:r>
        <w:rPr>
          <w:b/>
        </w:rPr>
        <w:t>E. 1.2</w:t>
      </w:r>
    </w:p>
    <w:p>
      <w:r>
        <w:t>Selon l'art. 231 al. 1 CPP, au moment du jugement, le tribunal de première instance détermine si le prévenu qui a été condamné doit être placé ou maintenu en détention pour des motifs de sûreté pour garantir l'exécution de la peine ou de la mesure prononcée (let. a) ou/et en prévision de la procédure d'appel (let. b). La décision ordonnant le maintien ou le placement en détention peut être attaquée par la voie du recours (art. 393 al. 1 let. b CPP; TF 1B_165/2017 du 19 mai 2017 consid. 2.1 et 2.3; TF 1B_153/2016 du 10 mai 2016 consid. 1.3).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(art. 231 al. 2 1 ère phrase CPP); en pareil cas, la personne concernée demeure en détention jusqu'à ce que la direction de la procédure de la juridiction d'appel ait statué (art. 231 al. 2 2ème phrase CPP); celle-ci statue sur la demande du ministère public dans les cinq jours à compter du dépôt de la demande (art. 231 al. 2 3 ème phrase CPP). Une demande de maintien en détention en application de cette disposition peut également être formée par le ministère public lorsque, sans prononcer d'acquittement, l'autorité de première instance ne suit pas – ou pas entièrement – les réquisitions et remet l'accusé en liberté (TF 1B_525/2011 du 13 octobre 2011 consid. 2.2). Dès la transmission du jugement motivé et de l'annonce d'appel à la juridiction d'appel (art. 399 al. 2 CPP), cette dernière reprend la direction de la procédure (TF 1B_250/2014 du</w:t>
      </w:r>
    </w:p>
    <w:p>
      <w:r>
        <w:rPr>
          <w:b/>
        </w:rPr>
        <w:t>E. 1.3</w:t>
      </w:r>
    </w:p>
    <w:p>
      <w:r>
        <w:t>Dans ses déterminations du 2 juillet 2019, le Ministère public a requis la prolongation des mesures de substitution ordonnées le 9 février 2018 par le Tribunal des mesures de contrainte, celles-ci apparaissant indispensables au vu des circonstances de la cause, les agissements du prévenu étant susceptibles de compromettre très gravement des biens juridiques tout à fait fondamentaux, notamment l’intégrité sexuelle d’enfants. Il a relevé qu’il était en particulier indispensable d’interdire à A.________ de côtoyer des mineurs et de contacter l’enfant A.B.________. Pour sa part, A.________ a requis la levée des mesures de substitution, dès lors que celles-ci n’avaient pas été prononcées en lien avec l’infraction de violation de l’obligation d’entretien retenue à son encontre et qu’il avait été acquitté des autres chefs d’accusation. L’autorité de céans, qui est compétente en application de l’art. 231 al. 2 CPP, pour revenir sur la libération ordonnée par le tribunal de première instance après un jugement d'acquittement, l’est évidement pour prononcer des mesures de substitution en lieu et place de la détention. 2. 2.1 2.1.1 En vertu de l'art. 221 CPP, la détention provisoire et la détention pour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2.1.1.1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Il est sans importance que l'extradition du prévenu puisse être obtenue (ATF 123 I 31 consid. 3d). 2.1.1.2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consid. 2.8). En général, la mise en danger de la sécurité d'autrui est d'autant plus grande que les actes redoutés sont graves. En revanche, le rapport entre gravité et rigueur des conditions pour admettre un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1B_206/2018 du 23 mai 2018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TF 1B_3/2019 du 17 janvier 2019 consid. 3.1). 2.1.2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ATF 133 I 270 consid. 2.2). 2.2 En l'occurrence, le Ministère public a requis, en première instance, une peine privative de liberté de 6 ans pour contrainte sexuelle aggravée, acte d’ordre sexuel avec des enfants, tentative de contrainte, violation du devoir d’assistance et d’éducation et violation d’une obligation d’entretien. Contestant la libération du prévenu des infractions les plus graves, le Procureur a annoncé faire appel du jugement de première instance. Au regard de la gravité des infractions reprochées au prévenu dont la libération est précisément contestée en appel, les agissements de ce dernier étant susceptibles de compromettre très gravement des biens juridiques fondamentaux, notamment l'intégrité sexuelle d'enfants, au vu également de l'importance de la peine dont celui-ci est toujours menacé compte tenu de l'appel du Ministère public, l’existence d’un risque de fuite demeure manifeste. Au reste, aucun élément nouveau n'est venu relativiser le risque de soustraction à l'action de la justice depuis que le Tribunal des mesures de contrainte l'a retenu dans ses ordonnances des 7 août et 2 novembre 2017, lesquelles mentionnent notamment que le prévenu a de la fortune et de nombreuses attaches à l'étranger. Il demeure dès lors indispensable de maintenir l'obligation pour A.________ de laisser tous ses documents d'identité en mains de l'autorité, et de maintenir la caution d'un montant de 20'000 fr., celle-ci ayant d'ores et déjà été versée, ce jusqu'à droit connu sur les appels interjetés. Le risque de réitération demeure également concret. Comme l'a relevé le Ministère public, l'attirance du prévenu pour les enfants est établie, celui-ci ayant admis des attouchements sur une enfant de 7 ans au Venezuela. Par ailleurs, figurent au dossier de nombreuses vidéos où le prévenu a filmé des enfants et des jeunes filles à leur insu, notamment des élèves envers lesquels il avait un devoir d'éducation. Le prévenu a en outre conservé des revues compilant des photographies d'enfants nus et a admis s'être régulièrement masturbé dans des trains, notamment devant des jeunes filles qu'il avait filmées. Le prévenu ayant toutefois contesté toute attirance pour les enfants lors de l'audience de première instance, en dépit de certaines autres déclarations inverses faites en cours d'instruction, on peut redouter qu'il n'opère aucun suivi médical, ce qui apparaît de nature à maximiser le risque de réitération. On relèvera encore qu'au moment des faits les plus graves qui lui sont reprochés, le prévenu ne prenait plus sa médication, contrairement à ce qui était préconisé par son médecin. Il demeure dès lors également indispensable de maintenir l'interdiction faite à A.________ de côtoyer des mineurs, que ce soit dans le cadre familial, professionnel ou sportif, ou encore de contacter l'enfant A.B.________ et de s'approcher d'elle. L'obligation faite à A.________ de suivre un traitement psychothérapeutique sera aussi maintenue. Les mesures de substitution précitées sont suffisantes pour empêcher la réalisation des risques de fuite et de réitération retenus en l'espèce. 3. Sur le vu de ce qui précède, il convient de prononcer les mesures de substitution suivantes, ce jusqu'à droit connu sur les appels interjetés par les parties: - les documents d'identité déposés par A.________ et la caution d'ores et déjà versée par ce dernier sont conservés auprès des autorités; - interdiction est faite à A.________ de contacter, de quelque manière que ce soit, sa fille A.B.________ et de s'approcher d'elle; - interdiction est faite à A.________ de côtoyer des mineurs, que ce soit dans un cadre familial, professionnel ou sportif; - obligation est faite à A.________ de suivre un traitement psychothérapeutique, cas échéant, auprès de la Dresse [...], qui l'a déjà suivi, ou de tout autre praticien agréé par la direction de la procédure, à charge pour A.________ de renseigner aussi vite que faire se peut la direction de la procédure sur l'identité de son thérapeute, et à charge ultérieurement pour ce praticien ou cette praticienne de renseigner la direction de la procédure, à sa réquisition, sur le suivi apporté. En outre, il convient d'avertir A.________ que s'il devait se soustraire à l'une ou l'autre des mesures de substitution précitées, il pourra être immédiatement placé en détention pour des motifs de sûreté.</w:t>
      </w:r>
    </w:p>
    <w:p>
      <w:r>
        <w:rPr>
          <w:b/>
        </w:rPr>
        <w:t>E. 4</w:t>
      </w:r>
    </w:p>
    <w:p>
      <w:r>
        <w:t>Vu l’issue de la cause, les frais du présent prononcé, constitués de l'émolument du prononcé, par 1'080 fr. (art. 21 al. 1 TFIP [Tarif des frais de procédure et indemnités en matière pénale du 28 septembre 2010; BLV 312.03.1]), suivront les frais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