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239 vom 15. Januar 2019</w:t>
      </w:r>
    </w:p>
    <w:p>
      <w:r>
        <w:t>VD Tribunal cantonal, 2019-01-15, FR</w:t>
      </w:r>
    </w:p>
    <w:p>
      <w:r>
        <w:rPr>
          <w:b/>
        </w:rPr>
        <w:t xml:space="preserve">Quelle: </w:t>
      </w:r>
      <w:r>
        <w:t>https://mcp.opencaselaw.ch/entscheid/vd_findinfo_Jug___2019___239</w:t>
      </w:r>
    </w:p>
    <w:p>
      <w:r>
        <w:t>FR: VD_FINDINFO Jug / 2019 / 239 du 15 janvier 2019</w:t>
      </w:r>
    </w:p>
    <w:p>
      <w:r>
        <w:t>IT: VD_FINDINFO Jug / 2019 / 239 del 15 gennaio 2019</w:t>
      </w:r>
    </w:p>
    <w:p>
      <w:pPr>
        <w:pStyle w:val="Heading2"/>
      </w:pPr>
      <w:r>
        <w:t>Regeste</w:t>
      </w:r>
    </w:p>
    <w:p>
      <w:r>
        <w:t>APPRÉCIATION DES PREUVES, CONSTATATION DES FAITS, APPRÉCIATION ANTICIPÉE DES PREUVES, ABUS DE CONFIANCE, ERREUR SUR LES FAITS{DROIT PÉNAL}, MOTIVATION DE LA DÉCISION, DROIT D'ÊTRE ENTENDU, PARTIE CIVILE, FIXATION DE LA PEINE | 13 al. 1 CP, 138 ch. 1 al. 2 CP, 29 al. 2 Cst., 10 CPP (CH), 126 CPP (CH), 139 CPP (CH), 389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M.________ est recevable.</w:t>
      </w:r>
    </w:p>
    <w:p>
      <w:r>
        <w:rPr>
          <w:b/>
        </w:rPr>
        <w:t>E. 2</w:t>
      </w:r>
    </w:p>
    <w:p>
      <w:r>
        <w:t>e éd., Bâle 2014, n. 1 ad art. 398 CPP). L'immédiateté des preuves ne s'impose toutefois pas en instance d'appel (cf. infra consid. 3.1).</w:t>
      </w:r>
    </w:p>
    <w:p>
      <w:r>
        <w:rPr>
          <w:b/>
        </w:rPr>
        <w:t>E. 3</w:t>
      </w:r>
    </w:p>
    <w:p>
      <w:r>
        <w:t>L’appelant a requis l’audition en qualité de témoin de [...], propriétaire du fonds de commerce « J.________ », visé par la convention du 30 juin 2017. Il soutient que son audition serait utile pour établir qu’il pouvait prétendre à des honoraires de 23'000 fr. correspondant à la différence entre le prix de vente convenu avec l’acheteur, de 118'000 fr., et celui souhaité par le vendeur, de 95'000 francs.</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S’agissant des preuves complémentaires, l’art. 389 al. 3 CPP prévoit que l’autorité de recours administre, d'office ou à la demande d'une partie, les preuves complémentaires nécessaires au traitement du recours (cf.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w:t>
      </w:r>
    </w:p>
    <w:p>
      <w:r>
        <w:rPr>
          <w:b/>
        </w:rPr>
        <w:t>E. 3.2</w:t>
      </w:r>
    </w:p>
    <w:p>
      <w:r>
        <w:t>En l’espèce, l’appelant a produit en appel la copie d’une promesse de vente qu’il a passée le 5 juillet 2017 avec le vendeur du fonds de commerce « J.________ » [...]. Cette promesse de vente prévoit que le prix de vente est fixé à 95'000 francs. Quant à la convention signée le 30 juin 2017 avec T.________ (P. 6/3), agissant pour G.________Sàrl, elle arrête le prix d’acquisition du fonds de commerce à 118'000 fr., honoraires compris. Sur la base de ces documents, il convient d’admettre, à tout le moins au bénéfice du doute, que le montant des honoraires escomptés par l’appelant s’élevait à 23'000 fr., de sorte que l’audition du témoin [...] sur ce point est inutile. M.________ n’a du reste pas renouvelé sa requête à l’audience d’appel.</w:t>
      </w:r>
    </w:p>
    <w:p>
      <w:r>
        <w:rPr>
          <w:b/>
        </w:rPr>
        <w:t>E. 4</w:t>
      </w:r>
    </w:p>
    <w:p>
      <w:r>
        <w:t>L’appelant reproche au premier juge d’avoir alloué aux plaignants leurs conclusions civiles à hauteur de 40'000 fr. avec intérêt à 5% l’an dès le 11 décembre 2017 sans motiver sa décision. Il n’aurait en particulier pas expliqué pourquoi l’entier de l’acompte devrait être restitué, alors que M.________ prétend avoir droit à des honoraires de 23'000 fr. en compensation. Le tribunal n’aurait par ailleurs pas précisé les raisons pour lesquelles il considérait que l’appelant était le débiteur des deux plaignants, soit de T.________ et de G.________Sàrl, alors que le contrat n’a été signé et l’acompte versé que par T.________ seul. Il y voit une violation de son droit d’être entendu, qui justifierait l’annulation du jugement.</w:t>
      </w:r>
    </w:p>
    <w:p>
      <w:r>
        <w:rPr>
          <w:b/>
        </w:rPr>
        <w:t>E. 4.1</w:t>
      </w:r>
    </w:p>
    <w:p>
      <w:r>
        <w:t>Le droit d'être entendu, garanti par les art. 3 al. 2 let. c CPP, 29 al. 2 Cst. (Constitution fédérale de la Confédération suisse du 18 avril 1999; RS 101) et 6 par. 1 CEDH (Convention de sauvegarde des droits de l’homme et des libertés fondamentales du 4 novembre 1950;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TF 6B_1057/2018 du</w:t>
      </w:r>
    </w:p>
    <w:p>
      <w:r>
        <w:rPr>
          <w:b/>
        </w:rPr>
        <w:t>E. 4.2</w:t>
      </w:r>
    </w:p>
    <w:p>
      <w:r>
        <w:t>En l'espèce, il est vrai qu'au moment d'aborder les conclusions civiles, le premier juge s'est limité à relever que T.________ et G.________Sàrl avaient conclu au versement d'une indemnité de 40'000 fr. plus intérêt à 5 % l'an dès le</w:t>
      </w:r>
    </w:p>
    <w:p>
      <w:r>
        <w:rPr>
          <w:b/>
        </w:rPr>
        <w:t>E. 8</w:t>
      </w:r>
    </w:p>
    <w:p>
      <w:r>
        <w:t>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Moreillon/Parein-Reymond, Petit Commentaire CPP, 2 e éd., Bâle 2016, nn. 6 ss ad art. 80 CPP). L'autorité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rPr>
          <w:b/>
        </w:rPr>
        <w:t>E. 11</w:t>
      </w:r>
    </w:p>
    <w:p>
      <w:r>
        <w:t>décembre 2017 et qu'au vu de la réalisation de l'abus de confiance et des éléments au dossier, cette conclusion apparaissait justifiée (cf. jugt. pp. 19-20). On comprend toutefois, à la lecture des considérants qui précèdent (cf. notamment jugt. pp. 14-17), que le tribunal de police a considéré que l'appelant a disposé indûment de l'acompte de 40'000 fr. qui lui a été confié, qu'il aurait peut-être pu invoquer la compensation à hauteur de ses honoraires en les chiffrant et en les étayant, ce qu'il n'avait toutefois jamais fait et que par ailleurs, les démarches de T.________ avaient également été faites pour le compte de G.________Sàrl. Ces considérations sont suffisantes pour saisir les motifs qui ont conduit le premier juge à statuer comme il l'a fait au sujet des conclusions civiles. Le grief formel soulevé doit donc être rejeté. 5. L’appelant ne remet pas en cause sa condamnation pour tentative de contrainte. Il conteste en revanche s'être rendu coupable d'abus de confiance. Dans ce cadre, il soutient tout d'abord que jusqu'au 30 septembre 2017, date à laquelle le plaignant lui a annoncé son souhait de ne plus mener à bien la vente, il partait du principe que cette vente allait se faire de sorte qu'il n'avait pas de raison de conserver l'acompte versé sur son compte de consignation et n'y était pas obligé du moment que le plaignant ne lui en demandait pas la restitution. Il fait ensuite valoir que lorsque le plaignant lui a demandé le remboursement de l'acompte de 40'000 fr., il a estimé qu'il ne devait pas le rembourser puisque la convention de réservation était « ferme et irrévocable » : il invoque sur ce point une possible erreur de fait. L'appelant expose encore qu'il était de toute manière en droit de prélever sur l'acompte versé le montant qui lui était dû à titre d'honoraires en cas de défection l'acheteur. Enfin, il soutient qu'il a reçu une somme de 100'000 fr. au début de l’année 2018, qu'il savait que cette somme allait lui être versée et qu'il aurait ainsi toujours été en mesure de rembourser les 40'000 fr. litigieux. 5.1 5.1.1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5.1.2 Selon l'art. 13 al. 1 CP (Code pénal du 21 décembre 1937; RS 311.0),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TF 6B_220/2015 du 10 février 2016 consid. 3.4.1). 5.1.3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précité; ATF 121 IV 23 consid. 1c). Sont des valeurs patrimoniales confiées les sommes encaissées par un mandataire pour le compte du mandant (ATF 101 IV 162 consid. 2a). Du point de vue subjectif, l'auteur doit avoir agi intentionnellement et dans un dessein d'enrichissement illégitime, lequel peut être réalisé par dol éventuel (ATF 118 IV 32 consid. 2a;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précité) ou encore s'il était en droit de compenser (ATF 105 IV 29 consid. 3a; TF 6B_1265/2017 du 26 mars 2018 consid. 4.1; TF 6B_1383/2016 précité).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 5.2 En l'espèce, il ressort du dossier que le 30 juin 2017, T.________, en qualité de client/acheteur, et le prévenu, sous la raison P.________, en qualité de mandataire du vendeur, ont conclu une « convention de réservation Fonds de commerce standard ferme et irrévocable » dans laquelle le premier a déclaré réserver et s'engager à acquérir le salon de massage érotique « J.________ » pour la somme de 118'000 fr. (P. 6/3). La convention précise que ce montant comprend les honoraires de l'appelant. Elle indique également que l'acquisition définitive du commerce interviendra par la conclusion d'un contrat de vente. Les conditions générales de cette convention stipulent que le « montant de la réservation » de 40'000 fr. est à verser cash ou sur le compte de consignation « P.________ » chez C.________AG dans les deux jours suivant la signature de la réservation et que ce montant sera porté comme premier acompte sur le prix de vente convenu dans le contrat de vente à venir. Elles mentionnent également que le client s'engage à signer le bail à loyer ou la reprise de bail à loyer dans les 60 jours suivant la signature de la réservation. Ces conditions générales précisent en outre que la réservation est subordonnée à l'obtention impérative, par le client, du contrat de bail commercial ou du transfert de bail à loyer commercial, ainsi que de l'autorisation officielle de la police des mœurs/commerce pour le but de la location, à savoir un salon de massage érotique. Elles stipulent qu'en cas de refus du bailleur ou de la police des mœurs/commerce, la somme de la réservation sera intégralement remboursée au client, dans les 5 jours. Elles indiquent par ailleurs qu'une fois la réservation signée, elle est considérée comme ferme et irrévocable et que dans le cas où le client renonce à racheter le fonds de commerce qui fait l'objet de la réservation, les honoraires de l'appelant sont dus en totalité par le client qui s'engage à les payer immédiatement. La convention du 30 juin 2017 prévoyait donc que dans les jours suivants la signature de la réservation et pour la durée des démarches qui restaient encore à accomplir avant la finalisation de la vente, une somme de 40'000 fr. serait confiée à l'appelant, en sa qualité de représentant du vendeur du fonds de commerce J.________. Cette somme devait ensuite être portée en déduction du prix de vente comme premier acompte, et donc revenir au vendeur, en cas de conclusion du contrat de vente; elle devait être intégralement restituée à l'acheteur en cas de refus du bailleur ou de la police des mœurs/commerce de transférer le bail, respectivement de délivrer l'autorisation nécessaire; enfin, on peut admettre qu'en en cas de renonciation de l'acheteur, la somme de 40'000 fr. pouvait ne lui être restituée que sous déduction des honoraires de l'appelant puisque dans cette hypothèse, la convention prévoyait que l'acheteur devait les prendre à sa charge. On a par ailleurs vu qu'il fallait retenir, à tout le moins bénéfice du doute, que le montant des honoraires escomptés par l'appelant dans cette affaire s'élevait à 23'000 fr. (cf. supra consid. 3.2). Cela étant, il est établi que le montant de 40'000 fr. a été versé le 7 juillet 2017 sur le compte de consignation désigné par l'appelant (P. 6/4) et qu'entre le 12 juillet 2017 et le 28 mars 2018, ce dernier en a entièrement disposé à des fins personnelles (P. 8/5; PV aud. 1, l. 273 ss). Il ressort également du dossier que le transfert de bail n'a finalement pas eu lieu, que l'appelant a, par courrier du 29 septembre 2017, été sommé de restituer la somme de 40'000 fr. d'ici le 5 octobre 2017 (P. 6/9) et qu'il a obstinément refusé de le faire, même à l'audience de première instance (cf. jugt. pp. 3 et 5). On ne peut à l'évidence pas suivre l'appelant lorsqu'il affirme qu'il pouvait utiliser le montant qui lui avait été confié parce qu'il était convaincu que la vente aboutirait et qu'il n'était pas obligé de le conserver tant que le plaignant ne lui en avait pas demandé la restitution. En effet, comme on l'a vu ci-dessus, l'affectation finale des 40'000 fr. était subordonnée aux résultats des démarches qui devaient encore être entreprises avant la finalisation de la vente, ce qui signifie que toute utilisation de ce montant était prohibée avant que l'issue définitive de ces démarches ne soit connue. C'est du reste pour cela que le montant a été versé sur un compte de consignation, et non sur un compte ordinaire. De surcroît, il ressort du dossier que l'essentiel de la somme de 40'000 fr. a été dépensé après la demande de restitution (P. 8/9). On ne peut pas davantage suivre l'appelant lorsqu'il affirme avoir cru que le caractère ferme et irrévocable de la réservation l'autorisait à refuser de restituer l'intégralité de l'acompte versé : ayant lui-même préparé et rédigé la convention (cf. jugt. p. 4), il ne peut en effet pas sérieusement prétendre avoir ignoré qu'en cas d'échec de la vente, l'acompte devait être intégralement ou à tout le moins partiellement remboursé à l'acheteur. Il l’a du reste expressément reconnu lors de l’audience d’appel (cf. supra, p. 3). Il n'y ainsi pas de place pour une éventuelle erreur de fait. Il reste donc à examiner si, et dans quelle mesure l'appelant pouvait invoquer le paiement de ses honoraires pour justifier l'utilisation des fonds à des fins personnelles et son refus de les restituer. À cet égard, on doit tout d'abord constater que l'intéressé a toujours soutenu que ses honoraires devaient s'élever à 23'000 fr., soit à la différence entre le prix de vente convenu avec l'acheteur et celui souhaité par le vendeur (PV aud. 1, l. 258 ss; jugt. p. 5; P. 1 produite à l'appui de l'appel). Il s'ensuit que même si on devait considérer que l'appelant pouvait prélever ses honoraires sur le montant qui lui avait été confié, il ne pouvait en aucun cas utiliser à son profit, respectivement refuser de restituer l'intégralité des 40'000 francs. Il faut en outre considérer que cette faculté ne lui était réservée par la convention que dans l'hypothèse où l'acheteur renonçait de lui-même à acquérir le fonds de commerce. Or, il résulte du dossier que la régie immobilière a refusé de transférer le contrat de bail à la société G.________Sàrl, dès lors qu’elle souhaitait que le transfert s’opère avec une personne physique et « en aucun cas » avec une société (P. 6/7). A cet égard et comme l'a retenu le premier juge, si la convention de réservation a été signée par T.________ sans référence la société G.________Sàrl, dont il est associé gérant, il ne fait aucun doute que c’est bien pour le compte de cette société que les démarches ont été faites. Premièrement, il ressort de l’instruction, y compris des déclarations de l’appelant lui-même, que les parties avaient déjà conclu une affaire similaire par le passé et que les baux avaient alors été conclus au nom de la société (cf. PV aud. 1, l. 60 ss.; jugt. p. 8; supra p. 5). Deuxièmement, l'analyse des messages échangés entre les parties permet de constater que l'appelant n'a suggéré à T.________ de signer le bail personnellement qu'après que la régie avait refusé sa société comme locataire (P. 6/6, p. 2 : « Comme vous le lirez, la régie veut une personne physique comme détenteur du bail. Par conséquent, je conseil que vous preniez le bail à titre personnel […] »). Troisièmement, le but de la société G.________Sàrl tel que figurant au registre du commerce est « la location de logements, chambres, studios et appartements meublés ou non meublés, ainsi que de locaux commerciaux ». Au vu de ces différents éléments, M.________, par ailleurs rédacteur de la convention du 30 juin 2017, ne pouvait donc pas ignorer que T.________, qui exploite des salons de massages érotiques au travers de sa société, entendait louer les locaux en cause au nom de ladite société. D’ailleurs, l’appelant a lui-même expressément reconnu que même s'il avait signé la convention avec T.________, c'était sa société d’exploitation, G.________Sàrl, qui devait intervenir pour la signature du bail (PV aud. 1, l. 96 ss.). Il convient donc de retenir que le bail devait être signé par la société G.________Sàrl, que le bailleur a refusé de l'accepter comme locataire et qu'en définitive, le contrat de vente n'a pas pu intervenir en raison du refus du bailleur de transférer le contrat de bail. Or dans cette hypothèse, l'acompte de 40'000 fr. devait, conformément à la convention, que l’appelant a lui-même rédigée, être intégralement remboursé dans les 5 jours. Il résulte de ce qui précède que l'appelant s'est intentionnellement accaparé la somme de 40'000 fr. qui lui avaient été confiée au mépris des termes de la convention signée le 30 juin 2017. Par ailleurs, dès lors que l'appelant n'a manifestement jamais eu l'intention de rembourser ce montant, puisqu’il estime encore à ce jour qu’il lui est dû, on ne voit pas en quoi le fait qu'une somme de 100'000 fr. ait été versée sur son compte le 30 avril 2018 (P. 10/11) serait de nature à changer ce constat. Les conditions de l’art. 138 CP sont donc réunies et la condamnation de l'appelant pour abus de confiance doit être confirmée. 6. Vérifiées d’office, les sanctions prononcées contre M.________ l’ont été en application des critères légaux et conformément à la culpabilité de ce dernier. S’agissant tant de la tentative de contrainte que de l’abus de confiance, une peine pécuniaire paraît suffisante du point de vue des impératifs de prévention qui s’imposent. La culpabilité de M.________ n’est pas négligeable, celui-ci n’ayant pas hésité à s’accaparer un montant important et dont il ne pouvait ignorer qu’il ne lui était pas dû. Il n’a en outre cessé, malgré l’évidence, de tenter d’imposer son point de vue, manifestement erroné. S’il a agi de la sorte, pour l’une et l’autre des deux infractions commises, c’est essentiellement pour disposer d’un moyen de pression sur son cocontractant, comme il l’a reconnu à l’audience d’appel. L’infraction la plus grave réside dans l’abus de confiance, qui doit être sanctionné de 90 jours-amende, auxquels il y a lieu encore d’ajouter 30 jours pour la tentative de contrainte, soit 120 jours-amende au total. Quant au montant du jour amende, il doit être arrêté à 30 fr., au vu de la situation financière de l’intéressé. S’agissant de l’amende de 600 fr. prononcée à titre de sanction immédiate, elle se justifie pour rendre le prévenu attentif à sa manière de mener ses affaires à l’avenir. Enfin, vu l’absence d’antécédent en la matière et malgré une prise de conscience encore inexistante, un pronostic défavorable ne peut pas être posé, de sorte que l’octroi du sursis se justifie s’agissant de la peine pécuniaire. Il s’ensuit que la peine pécuniaire de 120 jours-amende à 30 fr. avec sursis pendant 2 ans et l’amende de 600 fr. infligées à M.________ sont adéquates et doivent être confirmées, le prévenu n’ayant du reste développé aucun grief à l’encontre de ces peines mais ayant seulement conclu à leur réduction dans la mesure où il a plaidé son acquittement du chef d’accusation d’abus de confiance. 7. L'appelant reproche ensuite au premier juge d'avoir alloué aux plaignants l'intégralité de leurs conclusions civiles à concurrence de 40'000 fr. plus intérêt à 5 % l'an dès le 11 décembre 2017. Il fait notamment valoir qu'il ne pouvait pas être reconnu débiteur des deux plaignants. Il soutient en outre qu'on ne se trouvait pas dans un cas où l'intégralité de l'acompte devait être restitué, qu'il fallait dès lors amputer le montant réclamé de celui de ses honoraires, que les plaignants n'ont donc pas établi que l'entier du montant de l'acompte devait leur être restitué et qu'ils devaient ainsi être renvoyés à agir devant le juge civil. Il expose encore qu'en tout état de cause, le montant de ses honoraires, soit 23'000 fr., peut être établi, qu'il devait ainsi être porté en déduction du montant réclamé et que le premier juge ne pouvait en aucun cas allouer aux plaignants l'intégralité de leurs conclusions civiles. 7.1 L'art. 122 al. 1 CPP dispose qu'en qualité de partie plaignante, le lésé peut faire valoir des conclusions civiles déduites de l'infraction par adhésion à la procédure pénale.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pénal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Code de procédure pénale, Petit commentaire, 2 e éd., Bâle 2016, n. 3 ad art. 126 CPP; Jeandin/Matz, in : Kuhn/Jeanneret, op. cit.,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RS 220) (Jeandin/Matz, op. cit., nn. 10-11 ad art. 126 CPP; Dolge, in : Niggli/ Heer/Wiprächtiger [éd.], op. cit., n. 21 ad art. 126 CPP). Quoique régi par les art. 122 ss CPP, le procès civil dans le procès pénal demeure soumis à la maxime des débats et à la maxime de disposition. Ainsi, l'art. 8 CC (Code civil suisse du 10 décembre 1907;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 7.2 En l'espèce, la somme de 40'000 fr. correspond au montant qui a été indûment accaparé et utilisé par l'appelant. On a par ailleurs vu qu'on ne se trouve pas dans une hypothèse qui lui aurait permis de déduire du montant à restituer celui de ses honoraires. L'intérêt de 5 % l'an a été alloué dès le 11 décembre 2017, soit à compter d'une date postérieure à l'échéance visée par la première mise en demeure (P. 6/9). C'est donc à juste titre que le premier juge a alloué la somme de 40'000 fr. plus intérêt à 5 % l'an dès le 11 décembre 2017 à titre de conclusions civiles. En revanche, l'appelant a raison lorsqu'il affirme que les conclusions civiles ne devaient pas être allouées aux deux plaignants. Il résulte des considérations qui précèdent que l'affaire a été intégralement conclue et exécutée au nom de la société G.________Sàrl. Les conclusions en paiement et en attribution du montant séquestré n'ont du reste été prises qu'au nom de cette société (P. 32). L'appel devra donc être très partiellement admis sur ce point. Cette rectification formelle n'a pas d'influence sur l'indemnité au sens de l’art. 433 CPP qui a été allouée aux deux plaignants, dès lors que T.________ avait également pris et obtenu d'autres conclusions civiles. Enfin, dans la mesure où toutes les infractions retenues contre l’appelant sont confirmées, c’est à juste titre que l’entier des frais de justice a été mis à sa charge (art. 426 al. 1 CPP) et que toute indemnisation lui a été refusée (art. 429 al. 1 CPP a contrario ). 8. Au vu de ce qui précède, l’appel doit être très partiellement admis et le jugement attaqué réformé dans le sens du considérant qui précède. G.________Sàrl qui a obtenu gain de cause et qui a procédé avec l'assistance d'un conseil professionnel, a droit à une indemnité pour l’exercice raisonnable de ses droits de procédure en appel (art. 433 CPP). Me Raphaël Schindelholz a produit une note d’honoraires faisant état d’une activité de 7,50 heures. Il n’y a pas lieu de s’écarter de l’activité alléguée, si ce n’est pour y ajouter le temps consacré à l’audience d’appel. Cela étant, l’activité effectuée sera comptabilisée au tarif horaire de 300 fr. et non de 350 fr., un tarif plus élevé n’étant pas justifié par la complexité de l’affaire (cf. art. 26a TFIP [Tarif des frais de procédure et indemnités en matière pénale du 28 septembre 2010; BLV 312.03.1]). C’est donc une indemnité de 2'801 fr. 30, y compris 51 fr. de débours (correspondant à 2% des honoraires, conformément l’art. 19 al. 2 TDC [Tarif des dépens en matière civile du 23 novembre 2010; BLV 270.11.6], applicable par renvoi de l’art. 26a al. 6 TFIP) et 200 fr. 30 de TVA, qui doit être allouée à G.________Sàrl pour l’exercice raisonnable de ses droits de procédure en appel, à la charge de M.________. Le défenseur d’office de M.________ a déposé en audience une liste d’opérations faisant état d’une activité de 8h10. Il n’y a pas lieu de s’écarter de l’activité alléguée, si ce n’est pour y ajouter le temps consacré à l’audience d’appel. Pour le surplus, les débours forfaitaires seront comptabilisés au taux légal de 2% (art. 19 al. 2 TDC, applicable par renvoi de l’art. 26a al. 6 TFIP). C’est ainsi une indemnité de 1'799 fr. 40, correspondant à 9,1 heures d’activité au tarif horaire de 180 fr., à 32 fr. 75 de débours et à 128 fr. 50 de TVA qui doit être allouée à Me Séverine Berger pour la procédure d’appel. Vu l’issue de la cause, les frais de la procédure d'appel, par 4’589 fr. 40, constitués en l’espèce des émoluments de jugement et d'audience, par 2’790 fr. (art. 21 al. 1 et 2 TFIP), et de l’indemnité allouée au défenseur d'office de l’appelant (art. 422 al. 1 et 2 let. a CPP), par 1'799 fr. 40, seront mis par neuf dixièmes, soit 4'130 fr. 45, à la charge de M.________, le solde étant laissé à la charge de l’Etat. M.________ ne sera tenu de rembourser à l’Etat les neuf dixièmes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