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2019 / 235 vom 30. Juli 2019</w:t>
      </w:r>
    </w:p>
    <w:p>
      <w:r>
        <w:t>VD Tribunal cantonal, 2019-07-30, FR</w:t>
      </w:r>
    </w:p>
    <w:p>
      <w:r>
        <w:rPr>
          <w:b/>
        </w:rPr>
        <w:t xml:space="preserve">Quelle: </w:t>
      </w:r>
      <w:r>
        <w:t>https://mcp.opencaselaw.ch/entscheid/vd_findinfo_Jug___2019___235</w:t>
      </w:r>
    </w:p>
    <w:p>
      <w:r>
        <w:t>FR: VD_FINDINFO Jug / 2019 / 235 du 30 juillet 2019</w:t>
      </w:r>
    </w:p>
    <w:p>
      <w:r>
        <w:t>IT: VD_FINDINFO Jug / 2019 / 235 del 30 luglio 2019</w:t>
      </w:r>
    </w:p>
    <w:p>
      <w:pPr>
        <w:pStyle w:val="Heading2"/>
      </w:pPr>
      <w:r>
        <w:t>Regeste</w:t>
      </w:r>
    </w:p>
    <w:p>
      <w:r>
        <w:t>INDEMNITÉ ÉQUITABLE, TORT MORAL, RESPONSABILITÉ POUR FAUTE, EXPORTATION{EN GÉNÉRAL}, COMMISSION DES MÉDICAMENTS, LOI FÉDÉRALE SUR LES MÉDICAMENTS ET LES DISPOSITIFS MÉDICAUX, DISPOSITIONS PÉNALES DE LA LPTH, JUGE UNIQUE, PROCÉDURE ÉCRITE | 21 CP, 6 DPA, 86 LPTh, 398 al. 4 CPP (CH), 429 al. 1 let. a CPP (CH), 429 al. 1 let. c CPP (CH)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tant l’appel d’Y.________ que celui de Z.________ et l’appel joint de X.________ doivent être rejetés et le jugement du Tribunal de police de l'arrondissement de La Côte du 4 février 2019 intégralement confirmé. Vu l'issue des causes déférées en appel, l'émolument de jugement, par 1’710 fr. (art. 21 al. 1 TFIP [Tarif des frais de procédure et indemnités en matière pénale du 28 septembre 2010; RSV 312.03.1]) sera mis par une tiers à la charge d'Y.________, par un tiers à la charge de Z.________ et par un tiers à la charge de X.________ (art. 428 al. 1 CPP). Vu le sort de leurs appels, aucune des parties ne peut prétendre à l’allocation d’indemnité.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