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230 vom 4. Juni 2019</w:t>
      </w:r>
    </w:p>
    <w:p>
      <w:r>
        <w:t>VD Tribunal cantonal, 2019-06-04, FR</w:t>
      </w:r>
    </w:p>
    <w:p>
      <w:r>
        <w:rPr>
          <w:b/>
        </w:rPr>
        <w:t xml:space="preserve">Quelle: </w:t>
      </w:r>
      <w:r>
        <w:t>https://mcp.opencaselaw.ch/entscheid/vd_findinfo_Jug___2019___230</w:t>
      </w:r>
    </w:p>
    <w:p>
      <w:r>
        <w:t>FR: VD_FINDINFO Jug / 2019 / 230 du 4 juin 2019</w:t>
      </w:r>
    </w:p>
    <w:p>
      <w:r>
        <w:t>IT: VD_FINDINFO Jug / 2019 / 230 del 4 giugno 2019</w:t>
      </w:r>
    </w:p>
    <w:p>
      <w:pPr>
        <w:pStyle w:val="Heading2"/>
      </w:pPr>
      <w:r>
        <w:t>Regeste</w:t>
      </w:r>
    </w:p>
    <w:p>
      <w:r>
        <w:t>MOTIVATION DE LA DEMANDE, RÉVISION{DÉCISION}, DÉCISION D'IRRECEVABILITÉ | 410 CPP (CH), 411 CPP (CH), 412 al. 2 CPP (CH)</w:t>
      </w:r>
    </w:p>
    <w:p>
      <w:pPr>
        <w:pStyle w:val="Heading2"/>
      </w:pPr>
      <w:r>
        <w:t>Erwägungen</w:t>
      </w:r>
    </w:p>
    <w:p>
      <w:r>
        <w:rPr>
          <w:b/>
        </w:rPr>
        <w:t>E. 1</w:t>
      </w:r>
    </w:p>
    <w:p>
      <w:r>
        <w:t>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 e éd., Bâle 2016, n. 3 ad art. 412 CPP). Les demandes de révision visées à l’art. 410 al. 1 let. b et al. 2 CPP doivent être déposées dans les 90 jours à compter de la date à laquelle la personne concernée a eu connaissance de la décision en cause. Dans les autres cas, la demande de révision n’est soumise à aucun délai (art. 411 al. 2 CPP).</w:t>
      </w:r>
    </w:p>
    <w:p>
      <w:r>
        <w:rPr>
          <w:b/>
        </w:rPr>
        <w:t>E. 1.1</w:t>
      </w:r>
    </w:p>
    <w:p>
      <w:r>
        <w:t>Aux termes de l’art. 410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(let. a), si la décision est en contradiction flagrante avec une décision pénale rendue postérieurement sur les mêmes faits (let. b) ou s’il est établi dans une autre procédure pénale que le résultat de la procédure a été influencé par une infraction, une condamnation n’étant pas exigée comme preuve (let. c).</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Basler Kommentar, Schweizerische Strafprozessordnung, Jungenstrafprozessordnung, 2 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Commentaire romand, Code de procédure pénale suisse, Bâle 2011, nn.</w:t>
      </w:r>
    </w:p>
    <w:p>
      <w:r>
        <w:rPr>
          <w:b/>
        </w:rPr>
        <w:t>E. 1.3</w:t>
      </w:r>
    </w:p>
    <w:p>
      <w:r>
        <w:t>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La procédure du rescindant instituée par le Code de procédure pénale se déroule, en principe, en deux phases, à savoir un examen préalable de la recevabilité (art. 412 al. 1 et 2 CPP), puis un examen des motifs invoqués (art. 412 al. 3 et 4 et 413 CPP). Il s’agit de deux étapes d’une seule et même procédure, de la compétence de la juridiction d’appel (TF 6B_324/2019 du 24 avril 2019 consid. 3.1). 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(ATF 143 IV 122 consid. 3.5 ; TF 6B_324/2019 précité ; TF 6B_1111/2018 du 18 décembre 2018 consid. 2.1.2).</w:t>
      </w:r>
    </w:p>
    <w:p>
      <w:r>
        <w:rPr>
          <w:b/>
        </w:rPr>
        <w:t>E. 2</w:t>
      </w:r>
    </w:p>
    <w:p>
      <w:r>
        <w:t>Dans son courrier daté du 16 mai 2019, T.________ s’est contenté de demander « la révision de l’ordonnance pénale rendue à [son] encontre le 18 mai 2018 », et, « par la même occasion (…) une rencontre ou une entrevue avec [le Procureur du Ministère public de l’arrondissement de Lausanne] concernant ce dossier et un autre en court (sic) d’instruction ». Ce faisant, T.________ n’a pas motivé sa demande de révision.</w:t>
      </w:r>
    </w:p>
    <w:p>
      <w:r>
        <w:rPr>
          <w:b/>
        </w:rPr>
        <w:t>E. 3</w:t>
      </w:r>
    </w:p>
    <w:p>
      <w:r>
        <w:t>Il résulte de ce qui précède que la demande de révision présentée par T.________, non motivée, doit être déclarée irrecevable (art. 412 al. 2 CPP). Le présent prononcé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