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23 vom 26. September 2018</w:t>
      </w:r>
    </w:p>
    <w:p>
      <w:r>
        <w:t>VD Tribunal cantonal, 2018-09-26, FR</w:t>
      </w:r>
    </w:p>
    <w:p>
      <w:r>
        <w:rPr>
          <w:b/>
        </w:rPr>
        <w:t xml:space="preserve">Quelle: </w:t>
      </w:r>
      <w:r>
        <w:t>https://mcp.opencaselaw.ch/entscheid/vd_findinfo_Jug___2019___23</w:t>
      </w:r>
    </w:p>
    <w:p>
      <w:r>
        <w:t>FR: VD_FINDINFO Jug / 2019 / 23 du 26 septembre 2018</w:t>
      </w:r>
    </w:p>
    <w:p>
      <w:r>
        <w:t>IT: VD_FINDINFO Jug / 2019 / 23 del 26 settembre 2018</w:t>
      </w:r>
    </w:p>
    <w:p>
      <w:pPr>
        <w:pStyle w:val="Heading2"/>
      </w:pPr>
      <w:r>
        <w:t>Regeste</w:t>
      </w:r>
    </w:p>
    <w:p>
      <w:r>
        <w:t>ESCROQUERIE, USAGE DE FAUX{DROIT PÉNAL}, TACHYMÈTRE, RÉVOCATION DU SURSIS, PEINE PÉCUNIAIRE, FIXATION DE LA PEINE, APPRÉCIATION DES PREUVES, PRÉSOMPTION D'INNOCENCE | 110 al. 4 CP, 146 al. 1 CP, 251 ch. 1 CP, 34 CP, 46 al. 1 CP, 10 CPP (CH), 126 CPP (CH), 393 al. 1 let. a CPP (CH), 433 CPP (CH), 91 CPP (CH)</w:t>
      </w:r>
    </w:p>
    <w:p>
      <w:pPr>
        <w:pStyle w:val="Heading2"/>
      </w:pPr>
      <w:r>
        <w:t>Erwägungen</w:t>
      </w:r>
    </w:p>
    <w:p>
      <w:r>
        <w:rPr>
          <w:b/>
        </w:rPr>
        <w:t>E. 1.1</w:t>
      </w:r>
    </w:p>
    <w:p>
      <w:r>
        <w:t>Interjeté dans les formes et délais légaux (art. 399 et 401 CPP) par une partie ayant qualité pour recourir (art. 382 CPP) contre le jugement d’un tribunal de première instance qui a clos la procédure (art. 398 al. 1 CPP), l’appel de M.________ est recevable.</w:t>
      </w:r>
    </w:p>
    <w:p>
      <w:r>
        <w:rPr>
          <w:b/>
        </w:rPr>
        <w:t>E. 1.2</w:t>
      </w:r>
    </w:p>
    <w:p>
      <w:r>
        <w:t>Le plaignant M.________ fait valoir que l’appel du prévenu S.________ serait irrecevable, la déclaration d’appel ayant été adressée à tort à l’autorité de première instance. Aux termes de l’art. 91 al. 4 CPP, le délai de recours est réputé observé si l’acte de recours parvient au plus tard le dernier jour du délai à une autorité suisse non compétente. Celle-ci transmet alors l’écrit sans retard à l’autorité pénale compétente. Cette norme, qui concrétise le principe selon lequel les délais sont considérés comme respectés si une partie dépose un acte en temps voulu auprès d’une autorité incompétente, a été reconnue par le Tribunal fédéral comme principe général de procédure découlant des règles de la bonne foi valant pour tous les domaines du droit (ATF 140 III 636 consid. 3.5 pp. 641 ss ; ATF 130 III 515 consid.</w:t>
      </w:r>
    </w:p>
    <w:p>
      <w:r>
        <w:rPr>
          <w:b/>
        </w:rPr>
        <w:t>E. 4</w:t>
      </w:r>
    </w:p>
    <w:p>
      <w:r>
        <w:t>p. 517 ; ATF 121 I 93 consid. 1b pp. 95 ss ; ATF 118 Ia 241 consid. 3c pp. 243 ss). Partant, S.________ ayant adressé sa déclaration d’appel au Tribunal d’arrondissement de l’Est vaudois dans le délai de vingt jours qui lui a été imparti (P. 46) et l’art. 91 al. 4 CPP prévoyant la transmission d’office de l’acte mal adressé, la Cour de céans considère que la déclaration d’appel du prévenu a été déposée en temps utile et qu’elle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3. 3.1 Il convient tout d’abord d’examiner l’appel du plaignant qui requiert qu’S.________ soit également condamné pour faux dans les titres, en raison de la falsification du carnet de service du véhicule dont le prévenu avait modifié le compteur. 3.2 Se rend coupable de faux dans les titres au sens de l'art. 251 ch. 1 CP (Code pénal suisse du 21 décembre 1937 ; RS 311.0)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 Dupuis et al. [éd.], Petit commentaire du Code pénal, 2 e éd., Bâle 2017, n. 1 ad art. 251 CP).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Il y a faux intellectuel lorsque le titre émane de son auteur apparent, mais est mensonger dans la mesure où son contenu ne correspond pas à la réalité (ATF 142 IV 119 consid. 2.1; ATF 138 IV 130 consid. 2.1 ;TF 6B_55/2017 du 24 mars 2017 consid. 2.2).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TF 6B_55/2017 du 24 mars 2017 consid. 2.2). Tel est le cas lorsque certaines assurances objectives garantissent aux tiers la véracité de la déclaration ;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De fausses constatations sur une fiche d'entretien du système antipollution peuvent constituer un faux dans les titres, ce document représentant pour la police la preuve que le service d'entretien du système antipollution a été effectué (art. 133a al. 1 aOAC [Ordonnance réglant l’admission des personnes et des véhicules à la circulation routière du 27 octobre 1976 ; RS 741.51]; ATF 115 IV 114 consid. 2).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 cit. ; CAPE 28 mai 2015/190). 3.3 En l’espèce, peu importe qui est l’auteur des modifications apportées au livret de service de la voiture BMW vendue au plaignant par le prévenu, dès lors qu’un carnet de service ne constitue pas un écrit présentant une valeur probante accrue s’agissant du nombre de kilomètres effectués par un véhicule car, contraire­ment à la fiche d’entretien du service antipollution, il ne s’agit pas d’un document destiné, en vertu de la loi, à prouver le nombre de kilomètres parcourus par le véhi­cule concerné vis-à-vis des tiers, en particulier des autorités chargées du contrôle du véhicule. Le carnet de service ne constituant pas un titre au sens de l’art. 251 CP, les conditions de réalisation de l’infraction de faux dans les titres ne sont pas réalisées. Le grief, mal fondé, doit donc être rejeté.</w:t>
      </w:r>
    </w:p>
    <w:p>
      <w:r>
        <w:rPr>
          <w:b/>
        </w:rPr>
        <w:t>E. 4.1</w:t>
      </w:r>
    </w:p>
    <w:p>
      <w:r>
        <w:t>Invoquant le principe de la présomption d’innocence, l’appelant S.________ affirme avoir indiqué au plaignant qu’il avait modifié le kilométrage figurant au compteur et conclut à sa libération du chef de prévention d’escroquerie.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4.3</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Ainsi,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JdT 2017 IV 75; ATF 135 IV 76 consid. 5.2).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citées). Sur le plan subjectif, l'auteur doit avoir agi intentionnellement et dans un dessein d'enrichissement illégitime, un résultat correspondant n'étant cependant pas une condition de l'infraction (ATF 119 IV 210 consid. 4b p. 214, JdT 1995 IV 139 ; Corboz, op. cit., nn. 39 ss ad art. 146 CP).</w:t>
      </w:r>
    </w:p>
    <w:p>
      <w:r>
        <w:rPr>
          <w:b/>
        </w:rPr>
        <w:t>E. 4.4</w:t>
      </w:r>
    </w:p>
    <w:p>
      <w:r>
        <w:t>Tout en admettant avoir lui-même « trafiqué » le compteur de la voiture BMW litigieuse, le prévenu prétend avoir indiqué au plaignant au moment de l’échange que le véhicule n’avait pas le kilométrage affiché et lui avoir fait signer un papier (PV aud. 2 p. 2). Or, les explications fournies par le prévenu ne sont pas crédibles. Le prévenu n’a pas été en mesure de produire le document prétendument signé par le plaignant. Il dit avoir agi ainsi, car la voiture devait à l’origine partir au Liban pour son frère et celui-ci voulait pouvoir « frimer » auprès de ses compatriotes (PV aud. 2 p. 2 ; Jugement p. 8). Toutefois, on ne voit pas pour quel motif le prévenu aurait fait état de cette modification illicite au plaignant après avoir constaté qu’il ne pouvait pas exporter le véhicule au Liban, d’autant que le prévenu avait intérêt à retirer le plus d’argent possible du véhicule accidenté. [...], beau-frère de M.________ présent lors de la transaction litigieuse, a déclaré qu’S.________ leur avait juste dit que sa femme avait eu un accident avec le véhicule, mais qu’il ne leur avait pas parlé d’un problème de compteur (PV aud. 3 p. 2), confirmant les déclarations du plaignant (PV aud. 2 p. 2). Il n’y a dès lors pas matière à rectifier l’état de fait du jugement et les griefs invoqués, mal fondés, doivent être rejetés. La qualification juridique retenue par le premier juge n’est pas contestée en tant que telle et doit être confirmée. Les éléments au dossier sont suffisants pour retenir que le prévenu a agi intentionnellement et dans un dessein d’enrichissement illégitime, plaçant le plaignant dans l’erreur de manière astucieuse en lui cachant sciemment que le véhicule remis avait circulé près de 200'000 kilomètres de plus que le nombre de kilomètres affichés au compteur, ce qui constitue incontestablement une escroquerie (CCASS 22 juin 2009/384). On ne saurait par ailleurs reprocher au plaignant de ne pas avoir effectué de contrôle plus approfondi du véhicule. Partant, la condamnation d’S.________ pour escroquerie au sens de l’art. 146 CP doit être confirmée.</w:t>
      </w:r>
    </w:p>
    <w:p>
      <w:r>
        <w:rPr>
          <w:b/>
        </w:rPr>
        <w:t>E. 5.1</w:t>
      </w:r>
    </w:p>
    <w:p>
      <w:r>
        <w:t>L’appelant S.________, qui conclut à son acquittement, conteste la révocation du sursis qui lui a été octroyé le 7 juillet  2014 par le Juge de police de la Sarine. Il ne conteste en revanche pas la peine prononcée.</w:t>
      </w:r>
    </w:p>
    <w:p>
      <w:r>
        <w:rPr>
          <w:b/>
        </w:rPr>
        <w:t>E. 5.2</w:t>
      </w:r>
    </w:p>
    <w:p>
      <w:r>
        <w:t>Selon l'art. 46 al. 1 aCP – qui n’est pas moins favorable au prévenu que la nouvelle version, dans sa teneur au 1 er janvier 2018 –, si durant le délai d'épreuve, le condamné commet un crime ou un délit et qu'il y a dès lors lieu de prévoir qu'il commettra de nouvelles infractions, le juge révoque le sursis ou le sursis partiel (al. 1, 1 re phr.). S'il n'y a pas lieu de prévoir que le condamné commettra de nouvelles infractions, le juge renonce à ordonner la révocation (al. 2, 1 re phr.).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Par analogie avec l'art. 42 al. 1 et 2 CP, le juge se fonde sur une appréciation globale des circonstances du cas d'espèce pour estimer le risque de récidive (ATF 134 IV 140 consid. 4.4 p. 143).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w:t>
      </w:r>
    </w:p>
    <w:p>
      <w:r>
        <w:rPr>
          <w:b/>
        </w:rPr>
        <w:t>E. 5.3</w:t>
      </w:r>
    </w:p>
    <w:p>
      <w:r>
        <w:t>En l’espèce, le premier juge a constaté que le prévenu avait récidivé pendant le délai d’épreuve de deux ans fixé par le Juge de police de la Sarine lors de l’octroi du sursis le 7 juillet 2014. Au regard des éléments du dossier et plus particulièrement des trois précédentes condamnations du prévenu, le pronostic est clairement défavo­rable, l’exécution de la nouvelle peine pécu­niaire ferme prononcée n’étant pas suffisante pour poser un pronostic favorable. En effet, elle paraît insuffisante pour détourner l’appelant de la commission de nouvelles infractions, le prévenu ayant déjà été condamné pour faux dans les titres et pour recel, et les trois sanctions prononcées à son encontre entre 2009 et 2014 étant demeurées sans effet sur son comportement délictueux. De plus, compte tenu de ses dénégations dans le cadre de la présente procédure, il n’y a pas eu de réelle prise de conscience du prévenu. Dans ces conditions, la révocation du sursis paraît nécessaire pour des motifs de prévention spéciale. Mal fondé, le moyen doit être rejeté. Vérifiée d’office, la sanction, fixée en application des critères légaux à charge et à décharge, et conformément à la culpabilité d’S.________, ne prête pas le flanc à la critique et doit être confirmée par renvoi aux considérants du jugement attaqué (art. 82 al. 4 CPP).</w:t>
      </w:r>
    </w:p>
    <w:p>
      <w:r>
        <w:rPr>
          <w:b/>
        </w:rPr>
        <w:t>E. 6.1</w:t>
      </w:r>
    </w:p>
    <w:p>
      <w:r>
        <w:t>Le plaignant M.________ fait valoir que ses conclusions civiles auraient dû lui être allouées. Il soutient que son dommage est établi par le différentiel de valeur entre le modèle BMW d’un kilométrage de 83'000 ou de 270'000 km, que la Chevrolet échangée ne présentait pas de défaut, que, de toute manière, aucun avis des défauts n’a été donné en temps utile et que le montant de 8'000 fr., auquel s’ajoutent 4'656 fr. 95 pour les honoraires de son avocat, est ainsi justifié.</w:t>
      </w:r>
    </w:p>
    <w:p>
      <w:r>
        <w:rPr>
          <w:b/>
        </w:rPr>
        <w:t>E. 6.2</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 e éd., Bâle 2016, n. 3 ad art. 126 CPP; Jeandin/Matz, in : Kuhn/Jeanneret [éd.], Commentaire romand, Code de procédure pénale suisse, Bâle 2011,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(Jeandin/Matz, in : Kuhn/Jeanneret [éd.], op. cit., nn. 10-11 ad art. 126 CPP; Dolge in: Niggli/ Heer/Wiprächtiger [éd.], Basler Kommentar, Schweizerische Strafprozessordnung, Jugendstrafprozessordnung, 2 e éd., Bâle 2014, n. 21 ad art. 126 CPP).</w:t>
      </w:r>
    </w:p>
    <w:p>
      <w:r>
        <w:rPr>
          <w:b/>
        </w:rPr>
        <w:t>E. 6.3</w:t>
      </w:r>
    </w:p>
    <w:p>
      <w:r>
        <w:t>En l’espèce, le verdict de culpabilité rendu par le premier juge à l’encontre du prévenu est confirmé. Il n’est toutefois pas possible pour la Cour de céans dans le cadre de la procédure pénale, de chiffrer la différence de valeur entre le véhicule vendu frauduleusement avec un kilométrage réduit et celui qui aurait le kilométrage faussement annoncé. D’abord, le véhicule a été vendu accidenté, de sorte que les valeurs de référence concernant des modèles identiques trouvées sur internet ne sont pas pertinentes. Ensuite, il ne s’agissait pas d’une vente, mais d’un échange avec une soulte, de sorte que seule une partie de la transaction concernait une prestation en argent. Enfin, la Cour de céans ne dispose pas des informations nécessaires lui permettant d’arrêter la valeur de la Chevrolet au jour de l’échange. Le dommage du plaignant n’est donc pas établi à satisfaction de droit. Quant aux honoraires de l’avocat du plaignant, seule une partie de ceux-ci peut être prise en compte, en raison de l’acquittement partiel dont a bénéficié le prévenu et qui est confirmé en appel. Le montant de 2'000 fr. alloué par le premier juge à titre d’indemnité réduite au sens de l’art. 433 CPP est ainsi adéquat. L’appel de M.________ doit donc également être rejeté sur ce point.</w:t>
      </w:r>
    </w:p>
    <w:p>
      <w:r>
        <w:rPr>
          <w:b/>
        </w:rPr>
        <w:t>E. 7</w:t>
      </w:r>
    </w:p>
    <w:p>
      <w:r>
        <w:t>En définitive, les appels d’S.________ et de M.________ doivent être rejeté et le jugement entrepris intégralement confirmé. Sur la liste des opérations produite (P. 58), Me Jean-Luc Maradan, défenseur d’office d’S.________, mentionne 10 heures et 3 minutes d’activité, y compris 2 heures pour l’audience d’appel du 28 janvier 2019. Le prévenu ayant été représenté à l’audience d’appel par l’avocate-stagiaire de Me Maradan, il convient de rétribuer 1 heure d’activité d’avocat breveté pour les opérations du 27 septembre au 21 novembre 2018 au tarif horaire de 180 fr. et 7h45 d’activité d’avocat-stagiaire pour les opérations du 22 au 28 janvier 2019 liées à l’audience d’appel et à sa préparation au tarif horaire de 110 fr., tout en tenant compte du temps effectif de l’audience d’appel qui a duré 45 minutes. L’indemnité de défenseur d’office de Me Jean-Luc Maradan pour la procédure d’appel est par conséquent fixée à 1'252 fr. (180 fr. [honoraires avocat) + 852 fr. 50 [honoraires avocat-stagiaire] + 80 fr. [1 vacation avocat-stagiaire] + 50 fr. [débours forfaitaires] + 89 fr. 50 [TVA]) et sera mise à la charge du prévenu. Vu l’issue de la cause, les frais communs d’appel, constitués en l’espèce du seul émolument de jugement, par 2'050 fr. (art. 422 al. 1 CPP ; art. 21 al. 1 et 2 TFIP [Tarif des frais de procédure et indemnités en matière pénale du 28 septembre 2010; BLV 312.03.1]), seront mis par moitié à la charge d’S.________ et par moitié à la charge de M.________, qui succombent. L’appelant ne sera tenu de rembourser à l’Etat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