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 vom 3. Januar 2019</w:t>
      </w:r>
    </w:p>
    <w:p>
      <w:r>
        <w:t>VD Tribunal cantonal, 2019-01-03, FR</w:t>
      </w:r>
    </w:p>
    <w:p>
      <w:r>
        <w:rPr>
          <w:b/>
        </w:rPr>
        <w:t xml:space="preserve">Quelle: </w:t>
      </w:r>
      <w:r>
        <w:t>https://mcp.opencaselaw.ch/entscheid/vd_findinfo_Jug___2019___20</w:t>
      </w:r>
    </w:p>
    <w:p>
      <w:r>
        <w:t>FR: VD_FINDINFO Jug / 2019 / 20 du 3 janvier 2019</w:t>
      </w:r>
    </w:p>
    <w:p>
      <w:r>
        <w:t>IT: VD_FINDINFO Jug / 2019 / 20 del 3 gennaio 2019</w:t>
      </w:r>
    </w:p>
    <w:p>
      <w:pPr>
        <w:pStyle w:val="Heading2"/>
      </w:pPr>
      <w:r>
        <w:t>Regeste</w:t>
      </w:r>
    </w:p>
    <w:p>
      <w:r>
        <w:t>CLASSEMENT DE LA PROCÉDURE, ORDONNANCE PÉNALE, OPPOSITION{PROCÉDURE}, NULLITÉ, CIRCULATION ROUTIÈRE{TRAFIC ROUTIER} | 322 al. 1 CPP (CH), 354 CPP (CH), 355 CPP (CH), 356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La procédure écrite est applicable (art. 406 CPP).</w:t>
      </w:r>
    </w:p>
    <w:p>
      <w:r>
        <w:rPr>
          <w:b/>
        </w:rPr>
        <w:t>E. 3.1</w:t>
      </w:r>
    </w:p>
    <w:p>
      <w:r>
        <w:t>Dans son jugement du 14 août 2017, la Cour d’appel pénale avait exposé qu’entre la notification de l’ordonnance pénale du 20 août 2013 et celle du 22 janvier 2014, le Préfet avait, le 14 novembre 2013, rendu une ordonnance de classement. Selon elle, même si cette ordonnance n’avait pas été approuvée par le Procureur général et n’était pas entrée en force, elle avait impliqué l’application, par le Préfet, de l’art. 355 al. 3 let. b CPP. Le refus d’approbation de cette ordonnance avait eu pour effet de mettre celle-ci à néant et d’imposer au Préfet une nouvelle instruction, soit en l’occurrence l’audition de trois personnes, puis le prononcé d’une nouvelle décision, propre à remplacer toutes les précédentes. Or, après avoir procédé aux auditions en question, le Préfet avait rendu l’ordonnance pénale du 22 janvier 2014, laquelle était, selon l’autorité de céans, parfaitement valable. Ainsi, la Cour d’appel pénale avait considéré que, compte tenu de cette nouvelle décision, un retrait de l’opposition contre l’ordonnance pénale du 20 août 2013 n’était plus envisageable, si bien que le retrait d’opposition annoncé le 17 février 2014 par J.________ avait été inopérant. Dans ces circonstances, l’autorité de céans avait retenu que l’ordonnance pénale du 20 août 2013 n’était pas devenue définitive et exécutoire.</w:t>
      </w:r>
    </w:p>
    <w:p>
      <w:r>
        <w:rPr>
          <w:b/>
        </w:rPr>
        <w:t>E. 3.2</w:t>
      </w:r>
    </w:p>
    <w:p>
      <w:r>
        <w:t>Dans son arrêt du 16 novembre 2018, le Tribunal fédéral n’a pas suivi ce raisonnement. Il a relevé que le refus d’approbation, par le Procureur général, de l’ordonnance de classement du 14 novembre 2013 ne signifiait pas que le Préfet devait nécessairement rendre une nouvelle ordonnance pénale au sens de l’art. 355 al. 3 let. c CPP. En effet, selon le Tribunal fédéral, après la non-approbation de son ordonnance de classement, puis l’administration des preuves réclamée par le Procureur général, le Préfet pouvait procéder selon l’une des quatre hypothèses visées à l’art. 355 al. 3 CPP. En l’espèce, dans la mesure où, suite à l’administration des nouvelles preuves, le Préfet avait retenu, dans son ordonnance pénale du 22 janvier 2014, des faits et une condamnation identiques à ceux figurant dans son ordonnance pénale du 20 août 2013, le Tribunal fédéral a considéré que le Préfet avait entendu maintenir son ordonnance pénale du 20 août 2013 (art. 355 al. 3 let. a CPP). En définitive, seule subsistait l’ordonnance pénale du 20 août 2013, contre laquelle le Procureur général – forclos – ne pouvait plus faire opposition. Selon le Tribunal fédéral, J.________ disposait en revanche de la faculté de retirer l’opposition formée contre cette ordonnance pénale, ce qu’il avait fait par courrier du 17 février 2014. Ainsi, l’ordonnance pénale du 20 août 2013 devait être assimilée à un jugement entré en force. Au regard de ce qui précède, le Tribunal fédéral a annulé le jugement du 14 août 2017 et renvoyé la cause à la Cour d’appel pénale pour qu’elle rende une nouvelle décision en tenant compte de ce que l’ordonnance pénale du 20 août 2013 constituait un jugement entré en force.</w:t>
      </w:r>
    </w:p>
    <w:p>
      <w:r>
        <w:rPr>
          <w:b/>
        </w:rPr>
        <w:t>E. 3.3</w:t>
      </w:r>
    </w:p>
    <w:p>
      <w:r>
        <w:t>Conformément aux considérants du Tribunal fédéral, il y a lieu de constater que l’ordonnance pénale rendue le 20 août 2013 par le Préfet du district du Jura-Nord vaudois est définitive et exécutoire. En conséquence, le jugement rendu le 24 février 2017 par le Tribunal de police de l’arrondissement de la Broye et du Nord vaudois, rectifié par prononcé du 13 mars 2017, doit être annulé.</w:t>
      </w:r>
    </w:p>
    <w:p>
      <w:r>
        <w:rPr>
          <w:b/>
        </w:rPr>
        <w:t>E. 4</w:t>
      </w:r>
    </w:p>
    <w:p>
      <w:r>
        <w:t>L’appelant obtenant gain de cause, il reste à statuer sur l’indemnité au sens des art. 429 et 436 CPP. L’appelant a demandé une indemnité de 15'689 fr. 70 pour ses frais de défense du 29 août 2013 au 4 avril 2017 (P. 50/2/5 et P. 50/2/6) et une indemnité de 4'393 fr. 35 pour l’exercice raisonnable de ses droits dans le cadre de la procédure d’appel (P. 67/1), soit une indemnité totale de 20'083 fr. 05.</w:t>
      </w:r>
    </w:p>
    <w:p>
      <w:r>
        <w:rPr>
          <w:b/>
        </w:rPr>
        <w:t>E. 4.1</w:t>
      </w:r>
    </w:p>
    <w:p>
      <w:r>
        <w:t>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1 re phrase).</w:t>
      </w:r>
    </w:p>
    <w:p>
      <w:r>
        <w:rPr>
          <w:b/>
        </w:rPr>
        <w:t>E. 4.2</w:t>
      </w:r>
    </w:p>
    <w:p>
      <w:r>
        <w:t>En l’espèce, l’activité déployée par l’avocat pour l’ensemble de la procédure correspond, selon les listes d’opérations produites, à 51,8 heures d’activité (= 30,1 [P. 50/2/5] + 10,6 [P. 50/2/6] et 11,1 [P. 67/1]). Au vu de la cause, les opérations listées dans les notes d’honoraires sont pour l’essentiel conformes à un accomplissement raisonnable de la tâche d’un défenseur, les opérations effectuées par Me Tony Donnet-Monay n’apparaissant ni inutiles, ni d’ampleur exagérée. Il convient néanmoins de retrancher toute l’activité déployée entre le 20 août 2013, date de l’ordonnance pénale désormais définitive et exécutoire, et le 18 novembre 2013, date à laquelle le Procureur général a refusé d’approuver l’ordonnance de classement du 14 novembre 2013. Les opérations diligentées dans ce laps de temps sont en effet uniquement consécutives à l’opposition formée par J.________ contre l’ordonnance pénale du 20 août 2013. Or, cette opposition ayant finalement été retirée et le prénommé succombant à l’action pénale dans cette mesure, il n’y a pas matière à indemnisation. Ainsi, il y a lieu de retenir une activité de 46,05 heures (51,8 - 5,75). En l’occurrence, quand bien même la présente cause comportait une question de procédure d’une complexité relative, la présente cause est une affaire de peu de gravité dans la compétence du Tribunal de police. Ainsi, il y a lieu d’arrêter un tarif horaire de 250 fr., comme le permet l’art. 26a al. 3 TFIP. Ainsi, l’activité déployée par l’avocat doit être indemnisée à 11'512 fr. 50. S’agissant des débours, il y a lieu d’allouer le montant correspondant à ceux annoncés dans les listes d’opérations produites, en y déduisant ceux relatifs aux opérations diligentées entre le 20 août et le 18 novembre 2013, soit 119 francs. Ainsi, les débours doivent être indemnisés à hauteur de 357 fr. 75 (= [269 - 119] + 13,5 + 194 fr. 25). En définitive, l’indemnité au sens de l’art. 429 al. 1 let. a CPP qui doit être allouée à l’appelant pour l’ensemble de la procédure pénale doit être fixée à 11'870 fr. 25, plus un montant correspondant à la TVA par 8% sur le tout, par 949 fr. 60, soit à 12'819 fr. 85 au total.</w:t>
      </w:r>
    </w:p>
    <w:p>
      <w:r>
        <w:rPr>
          <w:b/>
        </w:rPr>
        <w:t>E. 5</w:t>
      </w:r>
    </w:p>
    <w:p>
      <w:r>
        <w:t>En définitive, l’appel doit être admis et le jugement attaqué annulé, l’ordonnance pénale du 20 août 2013 étant définitive et exécutoire. Vu l’annulation du jugement du 14 août 2017 par le Tribunal fédéral, les frais de la procédure d’appel y relatifs, par 2'490 fr., doivent être laissés à la charge de l’Etat. Vu l’issue de la cause, les frais de la présente procédure d’appel, constitués en l’espèce de l’émolument d’arrêt, par 880 fr. (art. 21 al. 1 et 2 TFIP), seront intégralement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