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19 vom 9. Januar 2019</w:t>
      </w:r>
    </w:p>
    <w:p>
      <w:r>
        <w:t>VD Tribunal cantonal, 2019-01-09, FR</w:t>
      </w:r>
    </w:p>
    <w:p>
      <w:r>
        <w:rPr>
          <w:b/>
        </w:rPr>
        <w:t xml:space="preserve">Quelle: </w:t>
      </w:r>
      <w:r>
        <w:t>https://mcp.opencaselaw.ch/entscheid/vd_findinfo_Jug___2019___19</w:t>
      </w:r>
    </w:p>
    <w:p>
      <w:r>
        <w:t>FR: VD_FINDINFO Jug / 2019 / 19 du 9 janvier 2019</w:t>
      </w:r>
    </w:p>
    <w:p>
      <w:r>
        <w:t>IT: VD_FINDINFO Jug / 2019 / 19 del 9 gennaio 2019</w:t>
      </w:r>
    </w:p>
    <w:p>
      <w:pPr>
        <w:pStyle w:val="Heading2"/>
      </w:pPr>
      <w:r>
        <w:t>Regeste</w:t>
      </w:r>
    </w:p>
    <w:p>
      <w:r>
        <w:t>RÉVISION{DÉCISION}, DÉCISION D'IRRECEVABILITÉ | 410 CPP (CH), 412 al. 2 CPP (CH)</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CPP).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 TF 6B_426/2018 du</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Basler Kommentar, Schweizerische Strafprozessordnung, Jungenstrafprozessordnung,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 2. En l’espèce, pour autant qu’on le comprenne, C.________ se prévaut de prétendus vices de procédure (points 1 à 4 de la demande) qui ne constituent pas des motifs de révision au sens l’art. 410 al. 1 let. a CPP (cf. ATF 144 IV 35 consid. 2.2). Substituant sa propre appréciation, il revient ensuite sur les faits retenus à son encontre dans l’ordonnance pénale du 6 novembre 2017 (points</w:t>
      </w:r>
    </w:p>
    <w:p>
      <w:r>
        <w:rPr>
          <w:b/>
        </w:rPr>
        <w:t>E. 5</w:t>
      </w:r>
    </w:p>
    <w:p>
      <w:r>
        <w:t>à 15) en soulevant des arguments dont il s’est déjà prévalu ou qu’il aurait pu faire valoir devant le Procureur. En outre, il n’indique pas quels faits ou moyens de preuves inconnus de ce dernier auraient été propres à ébranler les constatations de fait sur lesquelles s’est fondée sa condamnation. Quant aux deux pièces produites par le requérant à l’appui de sa demande, elles ne constituent nullement des moyens de preuves sérieux et nouveaux au sens de l’art. 410 al. 1 let. a CPP. 3. Il résulte de ce qui précède que les motifs de révision invoqués apparaissent d’emblée non vraisemblables, respectivement mal fondés, de sorte que la demande de révision présentée par C.________ doit être déclarée irrecevable, sans autre échange d’écritures (art. 412 al. 2 et 3 CPP). Vu l’issue de la cause, les frais de révision, par 440 fr. (art. 21 al. 1 TFIP [tarif des frais de procédure et indemnités en matière pénale du 28 septembre 2010 ; BLV 312.03.1]), sont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