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161 vom 11. März 2019</w:t>
      </w:r>
    </w:p>
    <w:p>
      <w:r>
        <w:t>VD Tribunal cantonal, 2019-03-11, FR</w:t>
      </w:r>
    </w:p>
    <w:p>
      <w:r>
        <w:rPr>
          <w:b/>
        </w:rPr>
        <w:t xml:space="preserve">Quelle: </w:t>
      </w:r>
      <w:r>
        <w:t>https://mcp.opencaselaw.ch/entscheid/vd_findinfo_Jug___2019___161</w:t>
      </w:r>
    </w:p>
    <w:p>
      <w:r>
        <w:t>FR: VD_FINDINFO Jug / 2019 / 161 du 11 mars 2019</w:t>
      </w:r>
    </w:p>
    <w:p>
      <w:r>
        <w:t>IT: VD_FINDINFO Jug / 2019 / 161 del 11 marzo 2019</w:t>
      </w:r>
    </w:p>
    <w:p>
      <w:pPr>
        <w:pStyle w:val="Heading2"/>
      </w:pPr>
      <w:r>
        <w:t>Regeste</w:t>
      </w:r>
    </w:p>
    <w:p>
      <w:r>
        <w:t>DÉTENTION POUR DES MOTIFS DE SÛRETÉ, RISQUE DE RÉCIDIVE, PROPORTIONNALITÉ, MESURE DE SUBSTITUTION À LA DÉTENTION | 212 al. 3 CPP (CH), 221 al. 1 let. c CPP (CH), 233 CPP (CH), 237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N.________ a sollicité sa libération simultanément au dépôt de sa déclaration d’appel, de sorte que sa demande est recevable.</w:t>
      </w:r>
    </w:p>
    <w:p>
      <w:r>
        <w:rPr>
          <w:b/>
        </w:rPr>
        <w:t>E. 2.1</w:t>
      </w:r>
    </w:p>
    <w:p>
      <w:r>
        <w:t>N.________ fait tout d’abord valoir qu’il aurait déjà purgé la totalité de la peine prononcée par le Tribunal correctionnel, de sorte que son maintien en détention pour garantir l’exécution de sa peine violerait le principe de la proportionnalité. Il fait en outre valoir que le traitement institutionnel prononcé par les premiers juges, s’il devait être confirmé, ne durerait pas plus d’un ou deux mois, de sorte que son maintien en détention en vue de garantir l’exécution de sa mesure ne respecterait pas non plus le principe de la proportionnalité. Par ailleurs, il soutient que des mesures de substitution permettraient de parer au risque de réitération retenu.</w:t>
      </w:r>
    </w:p>
    <w:p>
      <w:r>
        <w:rPr>
          <w:b/>
        </w:rPr>
        <w:t>E. 2.2.1</w:t>
      </w:r>
    </w:p>
    <w:p>
      <w:r>
        <w:t>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(ATF 126 I 172 consid. 5e ; TF 1B_178/2016 du 7 juin 2016 consid. 4.2 ; TF 1B_291/2014 du 8 septembre 2014 consid. 3.2 ; CREP 9 avril 2019/257 consid. 3.2.2).</w:t>
      </w:r>
    </w:p>
    <w:p>
      <w:r>
        <w:rPr>
          <w:b/>
        </w:rPr>
        <w:t>E. 2.2.2</w:t>
      </w:r>
    </w:p>
    <w:p>
      <w:r>
        <w:t>Lorsque l'auteur souffre d'un grave trouble mental, le juge peut ordonner un traitement institutionnel s’il a commis un crime ou un délit en relation avec ce trouble et s’il est à prévoir que cette mesure le détournera de nouvelles infractions en relation avec ce trouble (art. 59 al. 1 let. a et b CP).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 il peut aussi être effectué dans un établissement pénitentiaire au sens de l'art. 76 al. 2 CP, dans la mesure où le traitement thérapeutique nécessaire est assuré par du personnel qualifié (art. 59 al. 3 CP). La privation de liberté entraînée par le traitement institutionnel ne peut en règle générale excéder cinq ans ;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(TF 1B_274/2018 du 25 juin 2018 consid. 3.1).</w:t>
      </w:r>
    </w:p>
    <w:p>
      <w:r>
        <w:rPr>
          <w:b/>
        </w:rPr>
        <w:t>E. 2.3.1</w:t>
      </w:r>
    </w:p>
    <w:p>
      <w:r>
        <w:t>Le maintien en détention de N.________ a été ordonné pour garantir l’exécution de la peine privative de liberté et assurer la mesure. S’agissant de la peine, le Tribunal correctionnel de l’arrondissement de La Côte a, par jugement du 11 mars 2019, notamment condamné N.________ à une peine privative de liberté de douze mois, sous déduction de 253 jours de détention avant jugement et a ordonné que 54 jours de détention soient déduits à titre de détention dans des conditions illicites. Force est ainsi de constater que N.________ n’a, à ce jour, pas subi une incarcération supérieure à la peine prononcée. Au demeurant, il n’appartient pas à la Cour de céans de se prononcer, au stade de la demande de mise en liberté, sur les arguments soulevés par le prévenu relatifs au ratio retenu par les premiers juges entre le temps passé en détention dans des conditions illicites et la réduction de la peine à opérer. Cette question devra être tranchée dans le jugement au fond. De même, les questions soulevées par la défense à titre subsidiaire et plus subsidiaire peuvent également être laissées ouvertes, dans la mesure où le maintien en détention pour des motifs de sûreté de N.________ n’a pas seulement été ordonné pour garantir l’exécution de sa peine, mais également pour pourvoir à celle de la mesure prononcée à son encontre.</w:t>
      </w:r>
    </w:p>
    <w:p>
      <w:r>
        <w:rPr>
          <w:b/>
        </w:rPr>
        <w:t>E. 2.3.2</w:t>
      </w:r>
    </w:p>
    <w:p>
      <w:r>
        <w:t>A cet égard, le Tribunal correctionnel de l’arrondissement de La Côte a ordonné un traitement institutionnel au sens de l’art. 59 CP en faveur de N.________, dont la durée maximale – prolongeable au demeurant – est de cinq ans. Bien que ce prononcé ne soit pas définitif et exécutoire, il constitue un indice important quant à la mesure susceptible de devoir être finalement exécutée (ATF 143 IV 168 précité ; ATF 139 IV 270 consid. 3.1 et les arrêts cités). Que les experts aient précisé que l’état psychique de N.________ ait pu, lors de ses précédentes hospitalisations, être suffisamment stabilisé pour qu’il puisse regagner son domicile après un séjour d’un mois en moyenne, ne saurait par ailleurs permettre à la Cour de céans de considérer, comme le soutient N.________, que la mesure entraînant une privation de liberté ne durerait forcément pas plus d’un ou deux mois au maximum, ce d’autant plus que les traitements instaurés à ces occasions n’ont jamais, à dires d’experts, permis un amendement complet de sa symptomatologie psychotique. En effet, le prévenu souffrant de schizophrénie paranoïde, laquelle est actuellement décompensée, et refusant tout traitement, il faut sérieusement compter avec une mesure entraînant une privation de liberté dont l’exécution complète pourrait durer sensiblement plus longtemps que les un ou deux mois évoqués par la défense et, partant, que la détention subie. Au vu de ce qui précède, le principe de la proportionnalité demeure donc à ce stade pleinement respecté pour garantir l’exécution de la mesure ordonnée. Au demeurant, il n’appartient pas à la Cour de céans d’examiner ici le bien-fondé du traitement institutionnel prononcé par les premiers juges, cette question, dont on ne saurait préjuger l’issue, devant être tranchée dans le jugement au fond.</w:t>
      </w:r>
    </w:p>
    <w:p>
      <w:r>
        <w:rPr>
          <w:b/>
        </w:rPr>
        <w:t>E. 2.4.1</w:t>
      </w:r>
    </w:p>
    <w:p>
      <w:r>
        <w:t>Dans un second moyen, le prévenu fait valoir que les infractions qui lui sont reprochées seraient le résultat d’une utilisation anormale d’outils informatiques et de moyens de télécommunication. Or, dans la mesure où ces moyens ont été séquestrés, il ne disposerait plus des outils nécessaires pour commettre les infractions redoutées, de sorte qu’il n’existerait aucun risque de réitération. Subsidiairement, il soutient que des mesures de substitution, sous la forme d’une interdiction de contact avec les plaignantes, en particulier avec S.________, et/ou d’une interdiction de s’approcher du domicile des plaignantes, ainsi que l’exécution d’une mesure sous la forme d’un traitement ambulatoire, pourraient être ordonnées en lieu et place de la détention.</w:t>
      </w:r>
    </w:p>
    <w:p>
      <w:r>
        <w:rPr>
          <w:b/>
        </w:rPr>
        <w:t>E. 2.4.2.1</w:t>
      </w:r>
    </w:p>
    <w:p>
      <w:r>
        <w:t>En vertu de l'art. 221 al. 1 let. c CPP, la détention provisoire et la détention pour des motifs de sûreté peuvent être ordonnées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w:t>
      </w:r>
    </w:p>
    <w:p>
      <w:r>
        <w:rPr>
          <w:b/>
        </w:rPr>
        <w:t>E. 2.4.2.2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 n. 2 ad art. 237 CPP).</w:t>
      </w:r>
    </w:p>
    <w:p>
      <w:r>
        <w:rPr>
          <w:b/>
        </w:rPr>
        <w:t>E. 2.4.3</w:t>
      </w:r>
    </w:p>
    <w:p>
      <w:r>
        <w:t>Comme l’a retenu la Chambre des recours pénale dans son arrêt du 9 avril 2019, à la motivation duquel il peut être renvoyé sur ce point faute de nouvel élément susceptible de remettre en cause l’appréciation de cette autorité, qui est claire et convaincante, l’existence d’un risque de réitération est manifeste. En effet, au vu de la gravité des infractions retenues et de leurs conséquences sur les victimes, des antécédents du prévenu, de ses récidives en dépit de deux condamnations pénales et des conclusions des experts, selon lesquels il présente un risque de récidive élevé pour des actes de même nature, d’autant plus qu’à l’heure actuelle sa schizophrénie est décompensée, qu’il est anosognosique et refuse tout traitement médicamenteux et suivi psychiatrique, le pronostic est clairement défavorable, de sorte qu’un risque de réitération doit être retenu. Enfin, s’agissant des mesures de substitution proposées, aucune n’apparaît propre, en l’état, à contenir le risque de réitération retenu. En effet, en raison de la pathologie dont il souffre, le prévenu n’est manifestement pas apte à respecter un engagement ou une interdiction de contacter les plaignantes, notamment S.________, celui-ci ayant encore déclaré lors des débats de première instance : « J’ai des explications à avoir avec Mme [...] et MmeS.________, de sorte qu’il n’est pas exclu que je reprenne contact avec elles. ». Il en va de même de l’interdiction de s’approcher du domicile des plaignantes, qui ne constitue pas une garantie suffisante, le prévenu ne semblant pas plus en mesure de respecter une telle interdiction. Quant à l’exécution d’un traitement ambulatoire, s’il est vrai que les infractions reprochées à N.________ sont en rapport de causalité avec sa pathologie psychiatrique et qu’un traitement est préconisé par les experts – en unité de soins psychiatriques dans un premier temps toutefois – force est de constater que le prévenu refuse toujours à l’heure actuelle tout traitement en raison de son anosognosie, de sorte qu’une mesure ambulatoire ne serait pas non plus à même, à ce stade, d’assurer un traitement et, partant, de pallier le risque de réitération retenu.</w:t>
      </w:r>
    </w:p>
    <w:p>
      <w:r>
        <w:rPr>
          <w:b/>
        </w:rPr>
        <w:t>E. 3</w:t>
      </w:r>
    </w:p>
    <w:p>
      <w:r>
        <w:t>En définitive, le maintien de N.________ en détention pour des motifs de sûreté se justifie et sa requête tendant à sa mise en liberté doit être rejetée. Vu l’issue de la cause, les frais du présent prononcé, constitués de l'émolument du prononcé, par 900 fr. (art. 21 al. 1 TFIP [Tarif des frais de procédure et indemnités en matière pénale du 28 septembre 2010 ; BLV 312.03.1]), et des frais imputables à la défense d’office (art. 422 al. 1 et 2 let. a CPP), fixés à 360 fr., correspondant à 2 h d’activité d’avocat au tarif horaire de 180 fr., auxquels il convient d’ajouter des débours forfaitaires à concurrence de 2 %, plus la TVA, par 28 fr. 25, soit à 395 fr. 45 au total, seront mis à la charge de N.________, qui succombe (art. 428 al. 1 CPP). Ce dernier ne sera cependant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