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158 vom 13. Juli 2018</w:t>
      </w:r>
    </w:p>
    <w:p>
      <w:r>
        <w:t>VD Tribunal cantonal, 2018-07-13, FR</w:t>
      </w:r>
    </w:p>
    <w:p>
      <w:r>
        <w:rPr>
          <w:b/>
        </w:rPr>
        <w:t xml:space="preserve">Quelle: </w:t>
      </w:r>
      <w:r>
        <w:t>https://mcp.opencaselaw.ch/entscheid/vd_findinfo_Jug___2019___158</w:t>
      </w:r>
    </w:p>
    <w:p>
      <w:r>
        <w:t>FR: VD_FINDINFO Jug / 2019 / 158 du 13 juillet 2018</w:t>
      </w:r>
    </w:p>
    <w:p>
      <w:r>
        <w:t>IT: VD_FINDINFO Jug / 2019 / 158 del 13 luglio 2018</w:t>
      </w:r>
    </w:p>
    <w:p>
      <w:pPr>
        <w:pStyle w:val="Heading2"/>
      </w:pPr>
      <w:r>
        <w:t>Regeste</w:t>
      </w:r>
    </w:p>
    <w:p>
      <w:r>
        <w:t>SECRÉTARIAT D'ÉTAT À LA FORMATION, À LA RECHERCHE ET À L'INNOVATION, LOI FÉDÉRALE SUR L'ÉGALITÉ ENTRE FEMMES ET HOMMES, ÉCOLE PROFESSIONNELLE, ENSEIGNANT, ÉCOLE SECONDAIRE DU DEGRÉ SUPÉRIEUR, ÉGALITÉ DE TRAITEMENT | 8 al. 1 Cst., 3 LEg, 14 LPers-VD, 16 al. 1 LPers-VD, 103 CDPJ, 46 al. 2 OFPr, 6 RSRC, 13 Ord. du SEFRI, 6 Ord. du SEFRI</w:t>
      </w:r>
    </w:p>
    <w:p>
      <w:pPr>
        <w:pStyle w:val="Heading2"/>
      </w:pPr>
      <w:r>
        <w:t>Erwägungen</w:t>
      </w:r>
    </w:p>
    <w:p>
      <w:r>
        <w:rPr>
          <w:b/>
        </w:rPr>
        <w:t>E. 15</w:t>
      </w:r>
    </w:p>
    <w:p>
      <w:r>
        <w:t>Par courrier du 30 juin 2016, K.________, psychologue du travail, a été mise mandatée par le Tribunal en vue d’effectuer l’expertise. Son rapport final, adressé au greffe le 24 février 2017, comporte les conclusions suivantes :</w:t>
      </w:r>
    </w:p>
    <w:p>
      <w:r>
        <w:rPr>
          <w:b/>
        </w:rPr>
        <w:t>E. 16</w:t>
      </w:r>
    </w:p>
    <w:p>
      <w:r>
        <w:t>Dans le délai prolongé qui lui avait été imparti, la demanderesse a sollicité un complément d’expertise, accordé sous forme de questions écrites à l’experte, laquelle y répondrait dans le cadre d’une audience, pour éviter de prolonger encore l’instruction de la présente cause. Parties et experte ont ainsi été convoquées à l’audience du 4 décembre 2017 au cours de laquelle K.________ a répondu aux questions des parties. En particulier, l’experte a complété et explicité son rapport du 24 février 2017. Après avoir confirmé que l’enseignement de l’ICA constitue bien une profession féminine, elle a précisé avoir déterminé le niveau requis du point de vue de la psychologie du travail, en fonction des exigences et des charges de l’enseignement de l’ICA. Son approche s’est fondée sur des éléments plus liés aux exigences et aux charges de l’enseignement, pour aboutir à la conclusion que le niveau intellectuel requis est comparable à un Bachelor ; cette constatation l’amène à la chaîne d’enseignement professionnel II, plus précisément à la chaîne 144 niveau 11, étant précisé que l’on peut arriver à un certain niveau de formation indépendamment du titre, par des formations diverses et des expériences. C’est à l’employeur de déterminer quand le niveau de formation équivaut à l’expérience. Appelée à définir le rôle de la culture générale pour les enseignants de l’ICA, l’experte rappelle les spécificités de l’ICA, soit de concerner trois domaines différents nécessitant des compétences différentes. Ainsi, l’enseignant d’ICA devra justifier d’une formation particulière dans un domaine et de connaissances dans les deux autres et être à même de dispenser un enseignement « orienté problèmes » : les savoirs dépassent ainsi le thème de l’ICA et les compétences attendues sont ainsi plus larges que celles des autres enseignants purement professionnels dans les métiers de l’artisanat par exemple. L’experte a souligné qu’elle n’a pas questionné l’évaluation DECFO et les points pondérés attribués, mais pris le répertoire des emplois-type et attribué le niveau Bachelor à l’enseignement d’ICA en école professionnelle filière CFC. Questionnée sur les données de comparaison, l’experte a répondu avoir fait les comparaisons avec les données à sa disposition, en l’occurrence l’école professionnelle du Chablais à Aigle, comparant les enseignants ICA et les autres enseignants dans la filière CFC, soit les langues, le sport, les sciences naturelles, l’économie et société (discipline qui demande elle aussi d’enseigner la culture générale intégrée dans la branche). Toutes les personnes ne sont pas classées de la même manière. Les enseignants de sport ne sont clairement pas classés là où on les attendrait. Le sport et l’ICA devraient être classés pareillement au niveau CFC, au niveau 11, soit bachelor. Rappelant que la prescription légale exigeant d’intégrer la culture générale dans les branches ICA date de 2011, elle a relevé ne pas savoir si la situation était la même en 2008. Explicitant la réponse à la quatrième question qui lui avait été soumise, elle relève un problème de classification du fait des exigences de titres dans un système de salaires de fonction. Le classement en fonction de la formation suivie pose un problème de systématique. L’ICA est clairement une profession féminine, mais rien ne permet de dire que ce serait la raison pour laquelle elle a été classée en 144 10 au niveau CFC. La systématique de fonctions n’est pas clairement appliquée mais il n’est pas possible de répondre à la question de la justification. Interpelée sur le caractère discriminatoire de la collocation de la demanderesse par rapport à celle des enseignants au gymnase, en 145 12, l’experte répond que les choses y sont différentes, beaucoup d’enseignants n’ayant que de petits pourcentages d’enseignement de l’ICA au gymnase, avec cette conséquence qu’il est logique de ne pas faire deux contrats différents et d’appliquer le même niveau. Il y a une question de proportionnalité. L’experte confirme la collocation en chaîne 145 des enseignants au gymnase et dans les écoles de culture générale, conservant la chaîne 144 pour les enseignants en école professionnelle (niveau 145 11). Appelée à dire si le mécanisme du cliquet, soit le mécanisme de promotion instauré par l’art. 8 ANPS, serait susceptible d’entraîner une discrimination LEg, fondée sur le sexe, du fait que les enseignants en chaîne 145 bénéficient du cliquet déjà au niveau 11, l’experte a indiqué que la règle du cliquet ne lui paraissait guère compréhensible dans sa raison d’être et était susceptible d’entraîner une discrimination des personnes en 144 10. Elle a enfin relevé que l’égalité de traitement peut être mise en danger par des décisions politiques de ce type.</w:t>
      </w:r>
    </w:p>
    <w:p>
      <w:r>
        <w:rPr>
          <w:b/>
        </w:rPr>
        <w:t>E. 17</w:t>
      </w:r>
    </w:p>
    <w:p>
      <w:r>
        <w:t>Les parties n’ayant pas requis d’autres mesures d’instruction dans le délai imparti, l’audience de jugement a été appointée au 30 mai 2018 . A dite audience, la demanderesse a déposé des conclusions subsidiaires à celles prises le 7 mars 2011 au rejet desquelles le défendeur a immédiatement conclu sous suite de frais et dépens. Ces conclusions subsidiaires ont la teneur suivante : « IX. La classification salariale de D.________, telle qu’établie par l’avenant du contrat de travail du 1 er décembre 2008, constitue une violation de l’article 3 LEg. X. Il appartiendra à l’Etat de Vaud de revoir la classification salariale de D.________ dans l’échelle des traitements en tenant compte des exigences de l’article 3 LEg et des considérants du Tribunal, et de déterminer le traitement correspondant. XI. L’Etat de Vaud versera à la demanderesse la différence entre le traitement depuis le 1 er décembre 2008 ainsi calculé et le traitement qu’elle a déjà perçu, avec intérêt à 5% dès le 2 mars 2009. » Les parties ont chacune produit de nouvelles pièces, dont en particulier la mise au concours, en chaine 145 niveau 12, et l’engagement dans l’établissement où travaille la demanderesse d’un enseignant nouveau pour la branche ICA. Après la clôture de l’instruction, les parties ont été invitées à plaider, ce qu’elles ont fait en deux tours, en maintenant leurs conclusions respectives. Elles ont l’une et l’autre réfuté la prise en compte de la première expertise, qui n’est dès lors pas reproduite ici de quelque manière que ce soit.</w:t>
      </w:r>
    </w:p>
    <w:p>
      <w:r>
        <w:rPr>
          <w:b/>
        </w:rPr>
        <w:t>E. 18</w:t>
      </w:r>
    </w:p>
    <w:p>
      <w:r>
        <w:t>Le jugement, rendu sous la forme d’un dispositif, a été notifié aux parties le 13 juillet 2018. Par courrier du 17 juillet 2018, le défendeur en a requis la motivation.</w:t>
      </w:r>
    </w:p>
    <w:p>
      <w:r>
        <w:rPr>
          <w:b/>
        </w:rPr>
        <w:t>E. 19</w:t>
      </w:r>
    </w:p>
    <w:p>
      <w:r>
        <w:t>juin 2018, le Tribunal de Prud'hommes de l'administration cantonale prononce : I. La collocation de D.________ en chaîne 144, avec l’emploi type de maître-sse d’enseignement professionnel, au niveau de fonction 10 est confirmée jusqu’au 31 décembre 2011. II. Dès le 1 er janvier 2012, D.________ est colloquée en chaîne 145 avec l’emploi type de maître-sse d’enseignement post-obligatoire, au niveau de fonction 11A. III. L’ETAT DE VAUD délivrera à D.________ un nouvel avenant au contrat de travail du 26 juin 2003 conformément au chiffre II ci-dessus. IV. Compte tenu de la nouvelle collocation de D.________ dès le 1 er janvier 2012, l’ETAT DE VAUD est invité à examiner si, et depuis quelle date, D.________ pourrait bénéficier du cliquet, cas échéant, à lui verser la différence entre le salaire brut perçu et le salaire brut afférant au niveau de fonction 12A, déduction faite des charges sociales usuelles, avec intérêt de retard à 5% l’an. V. Les frais sont arrêtés à CHF 3'895.- (trois mille huit cent nonante cinq francs) soit CHF 2'270.- (deux mille deux cent septante francs) à charge de D.________ et de CHF 1'625.- (mille six cent vingt-cinq francs) à charge de l’ETAT DE VAUD. VI. L’ETAT DE VAUD versera à D.________ la somme de CHF 4'000 (quatre mille francs) à titre de dépens et de CHF 1'500.- (mille cinq cent francs) à titre de remboursement partiel de ses frais de justice. VII. Toutes autres et plus amples conclusions sont rejetées. La présidente : La greffière : Christine SATTIVA SPRING, v.-p. Alessandra CREMA, a.-h. Du 2 novembre 2018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