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151 vom 28. April 2016</w:t>
      </w:r>
    </w:p>
    <w:p>
      <w:r>
        <w:t>VD Tribunal cantonal, 2016-04-28, FR</w:t>
      </w:r>
    </w:p>
    <w:p>
      <w:r>
        <w:rPr>
          <w:b/>
        </w:rPr>
        <w:t xml:space="preserve">Quelle: </w:t>
      </w:r>
      <w:r>
        <w:t>https://mcp.opencaselaw.ch/entscheid/vd_findinfo_Jug___2019___151</w:t>
      </w:r>
    </w:p>
    <w:p>
      <w:r>
        <w:t>FR: VD_FINDINFO Jug / 2019 / 151 du 28 avril 2016</w:t>
      </w:r>
    </w:p>
    <w:p>
      <w:r>
        <w:t>IT: VD_FINDINFO Jug / 2019 / 151 del 28 aprile 2016</w:t>
      </w:r>
    </w:p>
    <w:p>
      <w:pPr>
        <w:pStyle w:val="Heading2"/>
      </w:pPr>
      <w:r>
        <w:t>Regeste</w:t>
      </w:r>
    </w:p>
    <w:p>
      <w:r>
        <w:t>TRIBUNAL FÉDÉRAL, CONTRAINTE SEXUELLE, ACTE D'ORDRE SEXUEL AVEC UN ENFANT | 187 ch. 1 CP, 189 al. 1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CREP 23 avril 2012/197).</w:t>
      </w:r>
    </w:p>
    <w:p>
      <w:r>
        <w:rPr>
          <w:b/>
        </w:rPr>
        <w:t>E. 2.1</w:t>
      </w:r>
    </w:p>
    <w:p>
      <w:r>
        <w:t>Dans son arrêt du 13 décembre 2017 (TF 6B_1310/2016) le Tribunal fédéral avait relevé que E.________, qui n’avait pas encore atteint l’âge de cinq ans au moment des faits, se trouvait dans une situation de dépendance envers l’intimé, et n’était de toute évidence pas en mesure de résister à ce dernier ; il avait par ailleurs expressément relevé que si la Cour cantonale parvenait à la conclusion que le recourant avait bien commis les actes qui lui étaient imputés, elle ne saurait nier la réalisation de la contrainte sexuelle (TF 6B_809/2018 consid. 11.2 in fine ).</w:t>
      </w:r>
    </w:p>
    <w:p>
      <w:r>
        <w:rPr>
          <w:b/>
        </w:rPr>
        <w:t>E. 2.2</w:t>
      </w:r>
    </w:p>
    <w:p>
      <w:r>
        <w:t>Les développements figurant dans le jugement de la Cour de céans du 25 juin 2018 s’agissant de la réalisation de l’infraction d’acte d’ordre sexuel avec des enfants conserve toute sa pertinence (CAPE 25 juin 2018/228 consid. 3) et il peut y être renvoyé (art. 82 al. 4 CPP).</w:t>
      </w:r>
    </w:p>
    <w:p>
      <w:r>
        <w:rPr>
          <w:b/>
        </w:rPr>
        <w:t>E. 2.3.1</w:t>
      </w:r>
    </w:p>
    <w:p>
      <w:r>
        <w:t>Ensuite de l’arrêt du Tribunal fédéral du 10 décembre 2018, l’accusation contre X.________ a été aggravée en fait (P. 171) et en droit (P. 172).</w:t>
      </w:r>
    </w:p>
    <w:p>
      <w:r>
        <w:rPr>
          <w:b/>
        </w:rPr>
        <w:t>E. 2.3.2</w:t>
      </w:r>
    </w:p>
    <w:p>
      <w:r>
        <w:t>En vertu de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 contrainte sexuelle suppose que la victime ne soit pas consentante, que l'auteur le sache ou accepte cette éventualité et qu'il passe outre en profitant de la situation ou en utilisant un moyen efficace. Il est admis que l'infériorité cognitive ainsi que la dépendance émotionnelle et sociale peuvent, particulièrement chez les enfants et les adolescents, induire une énorme pression qui les rend incapables de s'opposer à des atteintes de nature sexuelle. Toutefois, pour que la contrainte soit réalisée, il faut au moins que les circonstances concrètes rendent la soumission compréhensible. L'exploitation d'un lien de dépendance ou d'amitié ne suffit à elle seule en général pas à générer une pression psychique suffisante au regard de ces dispositions (voir ATF 131 IV 107 consid. 2.2 p. 109 et les arrêts cités). On peut attendre d'adultes en pleine possession de leurs facultés une résistance supérieure à celle que des enfants sont en mesure d'opposer (ATF 131 IV 167 consid. 3.1 p. 171 et les arrêts cités).</w:t>
      </w:r>
    </w:p>
    <w:p>
      <w:r>
        <w:rPr>
          <w:b/>
        </w:rPr>
        <w:t>E. 2.3.3</w:t>
      </w:r>
    </w:p>
    <w:p>
      <w:r>
        <w:t>En l’occurrence, X.________ a commis des actes d’ordre sexuels sur E.________. Dès lors que cet enfant n'avait, au moment des faits, pas encore atteint l'âge de 5 ans, se trouvait dans une situation de dépendance envers l'intimé, et n'était de toute évidence pas en mesure de résister à ce dernier, elle se trouvait manifestement dans un état de soumission la rendant incapable de s’opposer à des atteintes de nature sexuelle. Partant, il y a lieu de retenir que l’infraction de contrainte sexuelle est réalisée. Vu ce qui précède, l’infraction de contrainte sexuelle doit être retenue à l’encontre de X.________ s’agissant des actes commis sur l’enfant E.________.</w:t>
      </w:r>
    </w:p>
    <w:p>
      <w:r>
        <w:rPr>
          <w:b/>
        </w:rPr>
        <w:t>E. 3</w:t>
      </w:r>
    </w:p>
    <w:p>
      <w:r>
        <w:t>Dans son jugement du 22 septembre 2016, la Cour de céans avait libéré X.________, au bénéfice du doute, des chefs d’accusation de lésions corporelles simples qualifiées, de contrainte, de contrainte sexuelle et de tentative de contrainte sexuelle ainsi que de viol, en ce qui concernait O.________. Le Tribunal fédéral a rejeté le recours de cette dernière (TF 1B_1310/2016, du 13 décembre 2017), de sorte qu’il n’y a pas lieu de revenir sur ces questions, la libération de l’appelant étant définitive sur ces points.</w:t>
      </w:r>
    </w:p>
    <w:p>
      <w:r>
        <w:rPr>
          <w:b/>
        </w:rPr>
        <w:t>E. 4.1</w:t>
      </w:r>
    </w:p>
    <w:p>
      <w:r>
        <w:t>X.________ s’est rendu coupable d’acte d’ordre sexuel avec des enfants et de contrainte sexuelle, il y a lieu de refixer la peine.</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 et les références citées).</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217 consid. 2.2 ss).</w:t>
      </w:r>
    </w:p>
    <w:p>
      <w:r>
        <w:rPr>
          <w:b/>
        </w:rPr>
        <w:t>E. 4.2.3</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1 consid. 4.2.2).</w:t>
      </w:r>
    </w:p>
    <w:p>
      <w:r>
        <w:rPr>
          <w:b/>
        </w:rPr>
        <w:t>E. 4.3</w:t>
      </w:r>
    </w:p>
    <w:p>
      <w:r>
        <w:t>En l’occurrence, la culpabilité de X.________, qui s’est à deux reprises livré à des actes d’ordre sexuel sur E.________, dont une fois avec pénétration digitale, s’avère très lourde. Il s'en est pris à une enfant âgée de cinq ans, profitant du fait qu’elle se trouvait dans une situation de dépendance et n'était pas en mesure de lui résister. Ses attouchements ont été suffisamment violents pour provoquer chez elle une déformation hyménéale. On rappellera encore qu’au cours de la procédure, X.________ n'a manifesté aucune prise de conscience, n'a formulé aucune excuse à l'adresse de la fillette ou regret de son comportement. Il s'est au contraire enferré dans une attitude défensive, persistant dans ses explications à géométrie variable, généralement méprisantes pour les plaignantes. A décharge, on retiendra l’écoulement du temps, les actes reprochés à X.________ remontant à plus de quatre ans. Compte tenu de tous ces éléments, seule une peine privative de liberté peut être prononcée. Elle sera de 18 mois (12 + 6) et assortie d’un sursis complet, X.________, qui n’a pas d’antécédents, en remplissant les conditions objectives et subjectives. Le délai d’épreuve sera de deux ans.</w:t>
      </w:r>
    </w:p>
    <w:p>
      <w:r>
        <w:rPr>
          <w:b/>
        </w:rPr>
        <w:t>E. 5.1</w:t>
      </w:r>
    </w:p>
    <w:p>
      <w:r>
        <w:t>E.________ conclut à l’allocation d’une indemnité pour tort moral de 20'000 francs.</w:t>
      </w:r>
    </w:p>
    <w:p>
      <w:r>
        <w:rPr>
          <w:b/>
        </w:rPr>
        <w:t>E. 5.2</w:t>
      </w:r>
    </w:p>
    <w:p>
      <w:r>
        <w:t>Aux termes de l'art. 49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5.3</w:t>
      </w:r>
    </w:p>
    <w:p>
      <w:r>
        <w:t>En l’occurrence, les premiers juges avaient alloué une indemnité pour tort moral de 20'000 fr. à E.________. La Cour de céans avait, dans ses précédents arrêts, alloué une indemnité pour tort moral de 10'000 francs, seule une partie des faits étant retenue. Toutefois, vu les développements figurant ci-dessus, il convient de rexéaminer le montant à allouer. Ainsi, la Cour relève que, malgré le temps écoulé, le traumatisme subi par l’enfant est encore bien présent, celle-ci étant notamment encore suivie psychologiquement. Le sentiment profond de la peur, lié à la contrainte sexuelle subie, accentue encore la souffrance de l’enfant. C’est ainsi un montant de 12'000 fr. qui doit être alloué à E.________ pour le tort moral subi.</w:t>
      </w:r>
    </w:p>
    <w:p>
      <w:r>
        <w:rPr>
          <w:b/>
        </w:rPr>
        <w:t>E. 6</w:t>
      </w:r>
    </w:p>
    <w:p>
      <w:r>
        <w:t>Au vu de ce qui précède, l’appel de X.________ doit être partiellement admis et le jugement de première instance réformé dans le sens des considérants. Les frais d’appel antérieurs à l’arrêt du Tribunal fédéral du 10 décembre 2018 restent inchangés. Une indemnité de défenseur d’office pour la procédure d’appel postérieure à l'arrêt du 10 décembre 2018, par 635 fr. 45, TVA et débours inclus, sera allouée, sur la base de la liste d’opérations produite, à Me Fabien Mingard, défenseur d’office de X.________. Une indemnité de conseil d’office pour la procédure d’appel postérieure à l’arrêt du 10 décembre 2018, par 948 fr. 85, TVA et débours inclus, sera allouée, sur la base de la liste des opérations produite, à Me Katia Pezzuela, conseil d’office de O.________ et E.________. Les frais d’appel postérieurs à l’arrêt du 10 décembre 2018 du Tribunal fédéral, par 1'830 fr., ainsi que l’indemnité de défenseur d’office allouée à Me Fabien Mingard et l’indemnité allouée à Me Katia Pezzuela,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