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104 vom 28. Februar 2018</w:t>
      </w:r>
    </w:p>
    <w:p>
      <w:r>
        <w:t>VD Tribunal cantonal, 2018-02-28, FR</w:t>
      </w:r>
    </w:p>
    <w:p>
      <w:r>
        <w:rPr>
          <w:b/>
        </w:rPr>
        <w:t xml:space="preserve">Quelle: </w:t>
      </w:r>
      <w:r>
        <w:t>https://mcp.opencaselaw.ch/entscheid/vd_findinfo_Jug___2019___104</w:t>
      </w:r>
    </w:p>
    <w:p>
      <w:r>
        <w:t>FR: VD_FINDINFO Jug / 2019 / 104 du 28 février 2018</w:t>
      </w:r>
    </w:p>
    <w:p>
      <w:r>
        <w:t>IT: VD_FINDINFO Jug / 2019 / 104 del 28 febbraio 2018</w:t>
      </w:r>
    </w:p>
    <w:p>
      <w:pPr>
        <w:pStyle w:val="Heading2"/>
      </w:pPr>
      <w:r>
        <w:t>Regeste</w:t>
      </w:r>
    </w:p>
    <w:p>
      <w:r>
        <w:t>CONTRÔLE MÉDICAL, ACQUITTEMENT, HOMICIDE PAR NÉGLIGENCE, RUPTURE DU LIEN DE CAUSALITÉ, EXPERTISE | 117 CP, 389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A titre liminaire, il convient de constater que les conclusions civiles déposées par l’appelant le 14 mars 2019, lors de l’audience d’appel, sont irrecevables en raison des motifs suivants. En premier lieu, quand bien même, dans sa déclaration d’appel, l’appelant a indiqué qu’il entendait attaquer le jugement du 28 février 2018 dans son ensemble, il n’a pas fait mention de la question de ses prétentions civiles, ni pris de conclusions en réforme sur ce point. Or, l’objet de l’appel est fixé dans la déclaration d’appel et la portée de celui-ci ne peut plus être élargie ultérieurement (art. 399 al. 3 et</w:t>
      </w:r>
    </w:p>
    <w:p>
      <w:r>
        <w:rPr>
          <w:b/>
        </w:rPr>
        <w:t>E. 4</w:t>
      </w:r>
    </w:p>
    <w:p>
      <w:r>
        <w:t>L’appelant considère que R.________ doit être reconnue coupable d’homicide par négligence au sens de l’art. 117 CP (Code pénal suisse du 21 décembre 1937 ; RS 311.0). En bref, il estime que la prévenue aurait violé son devoir de prudence en ne procédant pas à un nouveau contrôle des paramètres de l’enfant Q.________ avant de le renvoyer chez lui. Il fait valoir qu’il existait des indices suffisants qui imposaient un tel réexamen. Il reproche en particulier aux premiers juges de s'être écartés sans motifs suffisants des conclusions de l'expertise du 25 avril 2016 et de son complément du 18 août 2016, qui établissaient selon lui sans ambiguïté la culpabilité de la prévenue. A cet égard, il considère notamment que les avis d’ordre privés produits par la défense ne permettraient en aucun cas d’infirmer les conclusions des experts judiciaires, ce en raison de leur caractère insuffisamment documenté, respectivement partial. L’appelant requiert dès lors l'audition des deux experts, soit le Dr [...] et le Prof. [...]. Il sollicite également la réaudition de trois témoins, à savoir l’infirmier B.________, l’infirmière [...] et le frère du défunt [...], et de la Dresse X.________ au sujet de l'état de l'enfant lors de sa consultation aux services [...] de [...].</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consid. 2.1.3). Si la juridiction d'appel jouit d'un plein pouvoir d'examen sur tous les points attaqués du jugement (art. 398 al. 2 CPP), la procédure se fonde néanmoins sur les preuves administrées pendant la procédure préliminaire et la procédure de première instance (art. 389 al. 1 CPP). L'administration des preuves n'est répétée qu'à des conditions strictes (art. 389 al. 2 CPP) : les dispositions en matière de preuves doivent avoir été enfreintes (let. a) ; l'administration des preuves doit avoir été incomplète (let. b) ou encore les pièces relatives à l'administration des preuves ne doivent pas sembler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(ATF 140 IV 196 consid. 4.4.2 ; cf. également TF 6B_35/2017 du 26 février 2018, consid. 2.1 ; TF 6B_445/2016 du 5 juillet 2017 consid. 5.7.5).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6B_35/2017 du 26 février 2018, consid. 2.1 ;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et les références citées).</w:t>
      </w:r>
    </w:p>
    <w:p>
      <w:r>
        <w:rPr>
          <w:b/>
        </w:rPr>
        <w:t>E. 4.1.2</w:t>
      </w:r>
    </w:p>
    <w:p>
      <w:r>
        <w:t>Aux termes de l'art. 117 CP, celui qui, par négligence, aura causé la mort d'une personne sera puni d'une peine privative de liberté de trois ans au plus ou d'une peine pécuniaire.</w:t>
      </w:r>
    </w:p>
    <w:p>
      <w:r>
        <w:rPr>
          <w:b/>
        </w:rPr>
        <w:t>E. 4.1.2.1</w:t>
      </w:r>
    </w:p>
    <w:p>
      <w:r>
        <w:t>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L'auteur viole les règles de la prudence s'il omet, alors qu'il occupe une position de garant – tel un médecin vis-à-vis de son patient (Dupuis et al., Petit commentaire, Code pénal, Bâle 2017, 2 e éd., n° 11 ad art. 11 CP) –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 Selon la jurisprudence, il y a causalité adéquate lorsque l'acte incriminé est propre, d'après le cours ordinaire des choses et l'expérience de la vie, à entraîner un résultat du genre de celui qui s'est produit (ATF 131 IV145 consid. 5.1 ; ATF 127 IV 62 consid. 2d ; ATF 126 IV 13 consid.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op. cit., n. 12 ad art. 117 CP et les références citées).</w:t>
      </w:r>
    </w:p>
    <w:p>
      <w:r>
        <w:rPr>
          <w:b/>
        </w:rPr>
        <w:t>E. 4.1.2.2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134 IV 175 consid. 3.2 ; ATF 130 IV 7 consid. 3.3 et les références citées). La notion de manquement à ses devoirs ne doit cependant pas être comprise de telle manière que chaque acte ou omission qui, par un jugement a posteriori ,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6B_999/2015 du 28 septembre 2016 consid. 5.1). Les règles de l'art médical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 du fait (ATF 133 III 121 consid. 3.1 ; TF 6B_1031/2016 du 23 mars 2017 consid. 6.4).</w:t>
      </w:r>
    </w:p>
    <w:p>
      <w:r>
        <w:rPr>
          <w:b/>
        </w:rPr>
        <w:t>E. 4.2.1</w:t>
      </w:r>
    </w:p>
    <w:p>
      <w:r>
        <w:t>En l'espèce, l'enfant Q.________ est décédé d'une myocardite à parvovirus B19 le 8 septembre 2013.</w:t>
      </w:r>
    </w:p>
    <w:p>
      <w:r>
        <w:rPr>
          <w:b/>
        </w:rPr>
        <w:t>E. 4.2.2</w:t>
      </w:r>
    </w:p>
    <w:p>
      <w:r>
        <w:t>S'agissant d'une éventuelle négligence de la prévenue, les premiers juges ont en substance estimé qu'au moment où celle-ci avait examiné l'enfant, aucun élément du tableau clinique ne pouvait lui donner à penser qu'il fallait recontrôler les constantes ou le garder à l'hôpital. A cet égard, ils ont relevé que la tachycardie avait été mesurée à deux reprises et que la pâleur de l’enfant s’était un peu atténuée, si bien qu’il était exact de dire que la situation s’était modifiée entre l’arrivée et le départ de Q.________ et que la probabilité d’une péjoration de l’état de celui-ci était très faible, pour ne pas dire inexistante. Le tribunal a ajouté que les différents intervenants, à savoir l’infirmière de tri, l’infirmier B.________ et la Dresse X.________, n’avaient pas pensé à un état de pré-choc, que la hiérarchie [...] avait estimé que la prévenue n’avait commis aucune faute et que les experts judiciaires avaient peut-être été un peu sévères en imputant une faute à cette dernière parce qu’elle s’était éloignée quelque peu de la stricte moyenne des paramètres à analyser, alors qu’ils étaient demeurés dans la fourchette. Considérant par ailleurs que la prévenue avait agi avec la marge d'appréciation qui était la sienne au moment des faits, sans adopter une attitude indéfendable ou manquer à un devoir élémentaire, ils sont arrivés la conclusion qu'on ne pouvait lui reprocher d'avoir commis une quelconque faute. Ce faisant, les premiers juges se sont expressément écartés des conclusions des experts qui, après avoir indiqué que l'examen médical pratiqué par R.________, bien que complet, ne permettait pas de poser le diagnostic de myocardite avec certitude, un tel diagnostic exigeant des investigations plus poussées (P. 64 ; R. 3), ont néanmoins considéré qu'au moment des faits, l'enfant présentait un tableau clinique de pré-choc qui devait faire penser à un problème cardio-vasculaire et imposait la répétition de la mesure des constantes (P. 64 ; R. 6) et qu'il aurait été plus judicieux de garder l'enfant en observation pendant la nuit (P. 64 ; R. 7). À la question de savoir si la prévenue avait violé les règles de l'art, les experts ont par ailleurs répondu par l'affirmative en relevant que les éléments objectifs à sa disposition auraient dû l'alerter d'une possible gravité de la situation et la conduire au minimum à les recontrôler (P. 64 ; R. 9). En l’espèce, au vu des éléments au dossier et en particulier de l’avis privé versé au dossier par la défense (P. 96/2), les premiers juges pouvaient certainement nourrir des doutes quant au bien-fondé des conclusions des experts sur la question de la violation des règles de l'art médical. On peut en revanche se demander s’ils pouvaient exclure toute faute médicale sur la base de leur propre appréciation du tableau clinique, ou s’ils n’auraient pas plutôt dû ordonner la nouvelle expertise requise par la défense (P. 99). Cette question peut toutefois être laissée ouverte pour les motifs suivants.</w:t>
      </w:r>
    </w:p>
    <w:p>
      <w:r>
        <w:rPr>
          <w:b/>
        </w:rPr>
        <w:t>E. 4.2.3</w:t>
      </w:r>
    </w:p>
    <w:p>
      <w:r>
        <w:t>Prenant cette fois-ci appui sur les conclusions de l'expertise judiciaire, les premiers juges ont en effet considéré qu'une éventuelle faute de la prévenue ne serait de toute manière pas en relation de causalité adéquate avec le résultat de l'omission de cette dernière, soit le décès de l'enfant. Cette appréciation ne peut qu’être confirmée. Les experts ont en effet indiqué que si l’état de pré-choc avait été identifié, l’enfant aurait été hospitalisé avec des mesures de soutien de son activité cardiaque et des investigations qui auraient pu permettre possiblement d’en identifier la cause. Ils ont en outre souligné que même en cas d’identification de l’état de pré-choc et de mise en œuvre de la thérapie adéquate, il n’était pas possible d’affirmer avec certitude que l’enfant Q.________ ne serait pas décédé à cause la myocardite puisque cette pathologie était associée à une mortalité de 7 à 15% au minimum, même dans les meilleures centres où toutes les thérapies sont à disposition (P. 64 ; R 10). Personne ne conteste le bien-fondé de ces conclusions. Ainsi, on comprend que même si l’état de pré-choc de l’enfant avait été identifié par la prévenue, par exemple lors d’un nouveau contrôle des constantes, il n’est tout d’abord pas certain, mais uniquement possible, que des investigations plus poussées dans le cadre d’une hospitalisation auraient permis de poser le diagnostic de myocardite puis d’instaurer un traitement adéquat. Par ailleurs, et surtout, quand bien même la pathologie avait pu être diagnostiquée et la thérapie appropriée instaurée, un risque de décès de 15% au minimum (taux le plus favorable à la prévenue) aurait subsisté. En d’autres termes, il n’est pas possible de retenir que l’identification par la Dresse R.________ de l’état de pré-choc présenté par l’enfant Q.________ aurait ensuite permis, avec une vraisemblance confinant à la certitude, d’en identifier la cause, soit de poser le diagnostic de myocardite, de mettre en place le traitement adéquat ni même et surtout que ce traitement aurait permis d’éviter son décès. Ainsi, à défaut de lien de causalité, c’est à juste titre que les premiers juges ont libéré la prévenue de l’infraction d’homicide par négligence. Cela étant, on relève que les mesures d’instruction sollicitées par les parties, soit l’audition de témoins et de la Dresse X.________ d’une part et la requête de nouvelle expertise d’autre part, ont trait à l’existence d’une éventuelle faute de la prévenue, question laissée ouverte par l’autorité de céans, mais sont sans pertinence concernant la question du lien de causalité. Par conséquent, ces mesures d’instruction ne sont pas nécessaires au traitement de l’appel (art. 389 al. 3 CPP) et doivent être rejetées.</w:t>
      </w:r>
    </w:p>
    <w:p>
      <w:r>
        <w:rPr>
          <w:b/>
        </w:rPr>
        <w:t>E. 5</w:t>
      </w:r>
    </w:p>
    <w:p>
      <w:r>
        <w:t>En définitive, l’appel doit être rejeté dans la mesure où il est recevable et le jugement attaqué intégralement confirmé. Vu l’issue de la cause, les frais de la procédure d’appel, constitués en l’espèce de l’émolument du jugement, par 2'460 fr. (art. 21 al. 1 et 2 TFIP [Tarif des frais de procédure et indemnités en matière pénale du 28 septembre 2010 ; BLV 312.03.1]), seront mis à la charge de l’appelant, qui succombe (art. 428 al. 1 CPP). L’intimée a droit à une indemnité pour les dépenses occasionnées par la procédure d’appel (art. 432 et 436 al. 1 CPP). Lors de l’audience d’appel, elle a requis une indemnité de 5'000 fr. et produit une liste d’opérations de son défenseur, faisant état d’une activité d’avocat de 14,50 heures. Les opérations annoncées et une telle durée sont conformes à un exercice raisonnable des droits de la défense dans le cadre de la présente procédure. De plus, la cause étant complexe, un tarif horaire de 350 fr. se justifie (art. 26a al. 3 TFIP). Ainsi, il convient d’allouer une indemnité de 5'000 fr. à R.________. Cette indemnité sera mise à la charge de P.________, qui succombe intégralement sur son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