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66 vom 21. August 2017</w:t>
      </w:r>
    </w:p>
    <w:p>
      <w:r>
        <w:t>VD Tribunal cantonal, 2017-08-21, FR</w:t>
      </w:r>
    </w:p>
    <w:p>
      <w:r>
        <w:rPr>
          <w:b/>
        </w:rPr>
        <w:t xml:space="preserve">Quelle: </w:t>
      </w:r>
      <w:r>
        <w:t>https://mcp.opencaselaw.ch/entscheid/vd_findinfo_Jug___2018___66</w:t>
      </w:r>
    </w:p>
    <w:p>
      <w:r>
        <w:t>FR: VD_FINDINFO Jug / 2018 / 66 du 21 août 2017</w:t>
      </w:r>
    </w:p>
    <w:p>
      <w:r>
        <w:t>IT: VD_FINDINFO Jug / 2018 / 66 del 21 agosto 2017</w:t>
      </w:r>
    </w:p>
    <w:p>
      <w:pPr>
        <w:pStyle w:val="Heading2"/>
      </w:pPr>
      <w:r>
        <w:t>Regeste</w:t>
      </w:r>
    </w:p>
    <w:p>
      <w:r>
        <w:t>CONSTATATION DES FAITS, LÉSION CORPORELLE SIMPLE, VOIES DE FAIT, ÉTAT DE NÉCESSITÉ | 18 CP, 10 CPP (CH)</w:t>
      </w:r>
    </w:p>
    <w:p>
      <w:pPr>
        <w:pStyle w:val="Heading2"/>
      </w:pPr>
      <w:r>
        <w:t>Erwägungen</w:t>
      </w:r>
    </w:p>
    <w:p>
      <w:r>
        <w:rPr>
          <w:b/>
        </w:rPr>
        <w:t>E. 1</w:t>
      </w:r>
    </w:p>
    <w:p>
      <w:r>
        <w:t>Interjeté dans les formes et délais légaux (art. 399 CPP [Code de procédure pénale suisse du</w:t>
      </w:r>
    </w:p>
    <w:p>
      <w:r>
        <w:rPr>
          <w:b/>
        </w:rPr>
        <w:t>E. 5</w:t>
      </w:r>
    </w:p>
    <w:p>
      <w:r>
        <w:t>L’appelante, qui a conclu à son acquittement, ne conteste pas la peine en tant que telle. Examinée d’office, la Cour d’appel considère que la peine prononcée a été fixée en application des critères légaux à charge et à décharge, conformément à la culpabilité et à la situation personnelle de T.________ (art. 47 CP). La peine pécuniaire de 60 jours-amende à 10 fr. avec sursis pendant 2 ans prononcée par le Tribunal de police est adéquate et doit être confirmée.</w:t>
      </w:r>
    </w:p>
    <w:p>
      <w:r>
        <w:rPr>
          <w:b/>
        </w:rPr>
        <w:t>E. 6</w:t>
      </w:r>
    </w:p>
    <w:p>
      <w:r>
        <w:t>Au vu de l’ensemble de ce qui précède, l’appel de T.________ doit être rejeté. Me Xavier Diserens, défenseur d’office de T.________, a produit une liste d’opérations faisant état d’une activité de 11 heures 55, incluant un nombre important de courriers, dont on ne saisit pas la justification, au vu de la complexité très relative de la cause. Il y a dès lors lieu de déduire 2 heures à ce titre et de rajouter la durée de l'audience, par 20 minutes. Quant aux débours, ils ne sauraient être calculés à raison de 5% du  décompte d'activité, de sorte que seul le montant forfaitaire usuel de 50 fr. sera alloué à ce titre. Ainsi, une indemnité d’un montant de 2'174 fr. 75, correspondant à 8,25 heures d’activité au tarif horaire de 180 fr., à 50 fr. de débours et à 122 fr. 80 de TVA à 8% (1'657 fr. 80) et à une activité de 2 heures au même tarif, à 120 fr. de vacation et à 36 fr. 95 de TVA à 7,7% (516 fr. 95), doit être allouée à Me Xavier Diserens pour la procédure d’appel. Me Flore Primault, conseil d’office de S.________, a produit une liste d’opérations faisant état d’une activité de 5 heures effectuées par un avocat breveté et de 2 heures effectuées par un avocat-stagiaire, ainsi que de 91 fr. de débours et frais de vacation. Ici également, un nombre de courriers trop important est comptabilisé au regard de la complexité du dossier. Il y a également lieu d'adapter le temps consacré à l'audience et de réduire à 30 minutes les opérations futures. Ainsi, une indemnité d’un montant de 686 fr. 25, correspondant à 1,5 heures d’activité au tarif horaire de 180 fr., à 50 fr. de débours et à 25 fr. 60 de TVA à 8% (345 fr. 60) et à une activité de 0,5 heures au même tarif, à une activité de 1,33 heures au tarif horaire de 110 fr., à 80 fr. de vacation et à 24 fr. 35 de TVA à 7,7% (340 fr. 65), doit être allouée à Me Flore Primault pour la procédure d’appel. Vu l’issue de la cause, les frais de la procédure d'appel, par 4’471 fr., constitués en l’espèce des émoluments d’arrêt et d’audience, par 1’610 fr., (art. 21 al. 1 et 2 TFIP [Tarif des frais de procédure et indemnités en matière pénale du 28 septembre 2010; RSV 312.03.1]), ainsi que des indemnités allouées au défenseur d'office de l’appelant et au conseil d’office de S.________, seront mis à la charge de T.________, qui succombe (art. 428 al. 1 CPP). T.________ ne sera tenue de rembourser à l’Etat l’indemnité en faveur des avocats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