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57 vom 27. September 2017</w:t>
      </w:r>
    </w:p>
    <w:p>
      <w:r>
        <w:t>VD Tribunal cantonal, 2017-09-27, FR</w:t>
      </w:r>
    </w:p>
    <w:p>
      <w:r>
        <w:rPr>
          <w:b/>
        </w:rPr>
        <w:t xml:space="preserve">Quelle: </w:t>
      </w:r>
      <w:r>
        <w:t>https://mcp.opencaselaw.ch/entscheid/vd_findinfo_Jug___2018___57</w:t>
      </w:r>
    </w:p>
    <w:p>
      <w:r>
        <w:t>FR: VD_FINDINFO Jug / 2018 / 57 du 27 septembre 2017</w:t>
      </w:r>
    </w:p>
    <w:p>
      <w:r>
        <w:t>IT: VD_FINDINFO Jug / 2018 / 57 del 27 settembre 2017</w:t>
      </w:r>
    </w:p>
    <w:p>
      <w:pPr>
        <w:pStyle w:val="Heading2"/>
      </w:pPr>
      <w:r>
        <w:t>Regeste</w:t>
      </w:r>
    </w:p>
    <w:p>
      <w:r>
        <w:t>CIRCULATION ROUTIÈRE{DROIT DE LA CIRCULATION ROUTIÈRE}, DROIT DE GARDER LE SILENCE, CONSTATATION DES FAITS, FIXATION DE LA PEINE, RÉVOCATION DU SURSIS, SURSIS À L'EXÉCUTION DE LA PEINE | 46 CP, 47 CP, 90 al. 2 LCR</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l’appel du Ministère public et l’appel joint de K.________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w:t>
      </w:r>
    </w:p>
    <w:p>
      <w:r>
        <w:rPr>
          <w:b/>
        </w:rPr>
        <w:t>E. 3</w:t>
      </w:r>
    </w:p>
    <w:p>
      <w:r>
        <w:t>Le Ministère public reproche aux premiers juges d’avoir considéré qu’il n’existait pas assez d’éléments permettant d’établir que K.________ était au volant de son véhicule BMW au moment des faits du 25 juillet 2015. Il soutient que la version de l’intimé, qui a en substance déclaré avoir prêté son véhicule ainsi que son téléphone portable à un proche au moment des faits, a été inventée pour tenter d’échapper à l’importante sanction à laquelle il s’expose. En substance, le Ministère public relève que le prévenu a un antécédent pénal d’excès de vitesse, qu’il a admis que les images vidéo des faits ont été filmées dans son véhicule au moyen de son téléphone portable, qu’il n’a pas de frère mais deux sœurs et qu’il est improbable qu’il ait prêté simultanément son téléphone portable ainsi que son véhicule à un proche et que cet emprunteur ait filmé ses exploits en commettant l’infraction en question.</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3.1.2</w:t>
      </w:r>
    </w:p>
    <w:p>
      <w:r>
        <w:t>; ATF 134 IV I consid. 4.2.2).</w:t>
      </w:r>
    </w:p>
    <w:p>
      <w:r>
        <w:rPr>
          <w:b/>
        </w:rPr>
        <w:t>E. 3.2</w:t>
      </w:r>
    </w:p>
    <w:p>
      <w:r>
        <w:t>K.________ a contesté avoir commis les faits et a exercé son droit de refuser de déposer et de collaborer. Au cours de la procédure, il a néanmoins déclaré qu’il connaissait le tronçon autoroutier sur lequel l’infraction avait eu lieu (PV aud. 2, p. 2), qu’il avait prêté son véhicule ainsi que son téléphone portable à la même personne (PV aud. 3, pp. 1-2) et que cette personne était un proche (PV aud. 3, p. 1). S’agissant des indices de culpabilité à l’encontre de l’intimé, il ressort du dossier que celui-ci est le détenteur du véhicule BMW incriminé, qu’il est le propriétaire du téléphone portable utilisé pour filmer l’excès de vitesse en cause, qu’il a refusé d’indiquer sa propre localisation au moment de la commission de l’infraction par le prétendu proche (PV aud. 2, p. 2) et que, dix mois après les faits, son téléphone portable contenait toujours la vidéo en question. En l’occurrence, on relève tout d’abord que, selon l’expérience de la vie, pratiquement chaque individu adulte, en particulier parmi les jeunes, est équipé d’un téléphone portable. Cela étant, si, d’une part, le prêt pour un temps mesurable en heures d’un téléphone portable, objet éminemment personnel et utilisé en principe fréquemment au fil de la journée, est déjà insolite, d’autre part, le prêt simultané d’un véhicule et dudit téléphone portable paraît peu vraisemblable, ce d’autant si ces deux engins ont été utilisés de concert dans le cadre de la réalisation d’une infraction. De plus, ce qui est en l’espèce encore moins vraisemblable, c’est que les images célébrant l’infraction ont été retrouvées dix mois plus tard dans le téléphone portable du détenteur du véhicule, sans que celui-ci ne soit, selon sa version, en rien impliqué dans le délit. Au regard de ces particularités, s’il était de bonne foi, l’intimé devait à tout le moins exposer les motifs l’ayant conduit à prêter son téléphone ainsi que sa voiture, ce qui pouvait se faire sans pour autant dévoiler l’identité de l’emprunteur. De même, on ne discerne pas de motifs légitimes propres à empêcher l’intimé de dévoiler sa propre localisation au moment des faits. En effet, de deux choses l’une, soit la voiture était conduite par un proche et K.________ pouvait, sans s’incriminer, dire où lui-même se trouvait, soit la version du proche conduisant le véhicule est une invention mensongère et l’intimé a refusé d’indiquer sa propre localisation pour éviter que son éventuel mensonge sur ce point ne soit mis en lumière. A cet égard, on constate que les déclarations de l’intéressé recèlent une contradiction et que son refus de s’exprimer aboutit, compte tenu de l’ensemble des circonstances, à la conclusion dépourvue de tout doute qu’il est bel et bien le conducteur ayant commis l’excès de vitesse, si bien qu’il a y lieu de retenir que sa version a été inventée de toutes pièces. Partant, le moyen du Ministère public doit être admis.</w:t>
      </w:r>
    </w:p>
    <w:p>
      <w:r>
        <w:rPr>
          <w:b/>
        </w:rPr>
        <w:t>E. 4</w:t>
      </w:r>
    </w:p>
    <w:p>
      <w:r>
        <w:t>Il convient d’examiner la qualification juridique de l’infraction commise par K.________.</w:t>
      </w:r>
    </w:p>
    <w:p>
      <w:r>
        <w:rPr>
          <w:b/>
        </w:rPr>
        <w:t>E. 4.1.1</w:t>
      </w:r>
    </w:p>
    <w:p>
      <w:r>
        <w:t>Selon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al. 2 LCR est objectivement réalisée lorsque l'auteur viole grossièrement une règle fondamentale de la circulation et met ainsi sérieusement en danger la sécurité d'autrui ; une mise en danger abstraite accrue est toutefois suffisante (ATF 142 IV 93 consid. 3.1).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Il existe un lien étroit entre la violation objectivement grave et l'absence de scrupule sous l'angle subjectif, sous réserve d'indices contraires spécifiques.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TF 6B_1011/2013 du 13 mars 2014 consid. 2.1).</w:t>
      </w:r>
    </w:p>
    <w:p>
      <w:r>
        <w:rPr>
          <w:b/>
        </w:rPr>
        <w:t>E. 4.1.2</w:t>
      </w:r>
    </w:p>
    <w:p>
      <w:r>
        <w:t>Selon l’art. 4a al. 1 let. d OCR (Ordonnance sur les règles de la circulation routière du 13 novembre 1962 ; RS 741.11), la vitesse maximale générale des véhicules peut atteindre, lorsque les conditions de la route, de la circulation et de visibilité sont favorables, 120 km/h sur les autoroutes.</w:t>
      </w:r>
    </w:p>
    <w:p>
      <w:r>
        <w:rPr>
          <w:b/>
        </w:rPr>
        <w:t>E. 4.1.3</w:t>
      </w:r>
    </w:p>
    <w:p>
      <w:r>
        <w:t>Aux termes de l'art. 31 al. 1 LCR, le conducteur doit rester constamment maître de son véhicule de façon à pouvoir se conformer aux devoirs de la prudence. Selon l'art. 3 al. 1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rPr>
          <w:b/>
        </w:rPr>
        <w:t>E. 4.2</w:t>
      </w:r>
    </w:p>
    <w:p>
      <w:r>
        <w:t>En l’espèce, K.________ était en train de filmer le compteur de son véhicule avec son téléphone portable lorsqu’il circulait sur le tronçon d’autoroute concerné. Sur la vidéo, le compteur indique que l’intimé roulait à une vitesse de plus de 220 km/heure. Dans la mesure où le compteur d’un véhicule peut contenir une marge d’erreur, il y a lieu de déduire de la vitesse indiquée une marge d’erreur de 15%, comme c’est le cas lorsque la mesure de la vitesse est effectuée au moyen d'un véhicule-suiveur sans système calibré (art. 8 al. 1 let. i ch. 2 OOCCR-OFROU [Ordonnance de l'OFROU concernant l'ordonnance sur le contrôle de la circulation routière du 22 mai 2008 ; RS 741.013.1]). Par conséquent, il convient de retenir que l’intimé, roulant à une vitesse de 187 km/h, a dépassé la limite autorisée de 67 km/heure. Partant, vu l’ampleur de l’excès de vitesse, K.________ s’est rendu coupable de violation grave des règles de la circulation. Par ailleurs, en filmant le compteur de son véhicule au moyen de son téléphone portable, l’intimé n’a pas voué toute l’attention commandée par les circonstances à la route et à la circulation. Cela vaut d’autant que la vitesse à laquelle il roulait était très élevée. Ainsi, il a enfreint de manière caractérisée les art. 31 al. 1 LCR et 3 al. 1 OCR et s’est également rendu coupable de violation grave des règles de la circulation pour ce motif.</w:t>
      </w:r>
    </w:p>
    <w:p>
      <w:r>
        <w:rPr>
          <w:b/>
        </w:rPr>
        <w:t>E. 5</w:t>
      </w:r>
    </w:p>
    <w:p>
      <w:r>
        <w:t>Le Ministère public requiert que K.________ soit condamné à une peine privative de liberté ferme de 10 mois.</w:t>
      </w:r>
    </w:p>
    <w:p>
      <w:r>
        <w:rPr>
          <w:b/>
        </w:rPr>
        <w:t>E. 5.1.1</w:t>
      </w:r>
    </w:p>
    <w:p>
      <w:r>
        <w:t>Selon l’art. 47 CP (Code pénal suisse du 21 décembre 1937 ; RS 311.0),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w:t>
      </w:r>
    </w:p>
    <w:p>
      <w:r>
        <w:rPr>
          <w:b/>
        </w:rPr>
        <w:t>E. 5.2.1</w:t>
      </w:r>
    </w:p>
    <w:p>
      <w:r>
        <w:t>En l’espèce, K.________ s’est rendu coupable de violation grave des règles de la circulation et d’infraction à la LArm, infractions passibles d’une peine privative de liberté de trois ans au plus ou d’une peine pécuniaire. Dans les deux cas, les motifs l’ayant conduit à enfreindre la loi sont futiles. En effet, d’une part, en se filmant en train de commettre un grave excès de vitesse, l’intimé a agi sciemment par vanité en adoptant un comportement aussi dangereux que stupide. D’autre part, s’agissant de l’infraction à la LArm, il a admis que le pistolet factice était destiné au jeu. Dans ces conditions, la culpabilité de l’intéressé doit être qualifiée d’importante. Par ailleurs, au moment de la commission des faits, le casier judiciaire de K.________ comportait déjà deux condamnations avec sursis pour avoir notamment enfreint à deux reprises la LArm. Le prénommé n’a pourtant pas hésité à récidiver de manière spéciale dans le délai d’épreuve assortissant ces deux sursis, ce qui dénote une absence totale de prise de conscience. En outre, l’intimé n’a pas collaboré avec les autorités, puisqu’en dépit des indices concrets qui existaient contre lui, il a menti tout au long de la procédure, en proposant une version inventée de toutes pièces afin de fuir ses responsabilités et de tenter d’échapper à la sanction pénale. A décharge, on relève, au bénéfice du doute, que la durée de l’excès de vitesse constaté a été brève et que les faits sont relativement anciens. Au regard de ce qui précède, l’intimé doit être condamné à une peine privative de liberté de 10 mois. Un tel genre de peine s’impose pour des motifs de prévention spéciale, dès lors qu’aucune des condamnations ou mesures prises contre l’intéressé jusqu’à ce jour ne paraissent avoir eu l’effet correcteur escompté. La peine privative de liberté infligée dans le cas d’espèce ne peut pas être complémentaire aux peines pécuniaires prononcées les 3 février, 25 mai et 20 octobre 2016, puisque ces sanctions sont d’un genre différent (cf. TF 6B_1082/2010 du 18 juillet 2011 consid. 2.2). Le jugement attaqué sera donc modifié par la suppression du chiffre IV de son dispositif.</w:t>
      </w:r>
    </w:p>
    <w:p>
      <w:r>
        <w:rPr>
          <w:b/>
        </w:rPr>
        <w:t>E. 5.2.2</w:t>
      </w:r>
    </w:p>
    <w:p>
      <w:r>
        <w:t>S’agissant de l’octroi du sursis, force est de constater que, vu l’absence de prise de conscience de K.________, le comportement futur de celui-ci apparaît défavorable. Cependant, la menace de devoir exécuter une peine privative de liberté en cas de récidive et l’effet de choc qu’entraînera la révocation des sursis portant sur les deux peines pécuniaires infligées les 12 juin 2015 et 3 février 2016 (cf. consid. 6.2 infra ) paraît de nature à détourner l’intimé de la commission de nouvelles infractions. Ainsi, la peine privative de liberté de 10 mois sera assortie du sursis, le délai d’épreuve étant fixé à cinq ans.</w:t>
      </w:r>
    </w:p>
    <w:p>
      <w:r>
        <w:rPr>
          <w:b/>
        </w:rPr>
        <w:t>E. 6</w:t>
      </w:r>
    </w:p>
    <w:p>
      <w:r>
        <w:t>Le Ministère public reproche aux premiers juges d’avoir renoncé à révoquer le sursis octroyé à K.________ le 3 février 2016 par le Ministère public du canton de Genève.</w:t>
      </w:r>
    </w:p>
    <w:p>
      <w:r>
        <w:rPr>
          <w:b/>
        </w:rPr>
        <w:t>E. 6.1</w:t>
      </w:r>
    </w:p>
    <w:p>
      <w:r>
        <w:t>Selon l'art. 46 CP, dans sa teneur jusqu'au 31 décembre 2017,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2 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(TF 6B_1165/2013 du 1 er mai 2014 consid. 2.2).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6.2</w:t>
      </w:r>
    </w:p>
    <w:p>
      <w:r>
        <w:t>En l’espèce, K.________ a commis les faits du 20 avril 2016 dans les délais d’épreuve découlant des condamnations prononcées avec sursis les 12 juin 2015 par le Ministère public de l’arrondissement du Nord vaudois et 3 février 2016 par le Ministère public du canton de Genève pour avoir enfreint la législation sur les armes et les stupéfiants. Les premiers juges ont révoqué le sursis accordé au prévenu le 12 juin 2015, mais ont renoncé à révoquer celui octroyé le 3 février 2016. Cependant, comme le relève le Ministère public, en commettant une nouvelle infraction à la LArm, l’intimé a récidivé pour des faits identiques à ceux pour lesquels il avait déjà été condamné à deux reprises. Dans ces circonstances, on ne peut que constater l’échec de la mise à l’épreuve. Partant, le sursis accordé le 3 février 2016 doit également être révoqué, de sorte que l’intimé devra exécuter la peine pécuniaire de 10 jours-amende à 40 fr. le jour et celle de 120 jours-amende à 80 fr. le jour. L’autorité de céans est en effet d’avis que, dans la mesure où le sursis a été accordé dans le cas d’espèce, seule l’exécution des peines pécuniaires précitées paraît propre à dissuader K.________ de commettre de nouveaux délits. Le moyen du Ministère public doit donc être admis.</w:t>
      </w:r>
    </w:p>
    <w:p>
      <w:r>
        <w:rPr>
          <w:b/>
        </w:rPr>
        <w:t>E. 7</w:t>
      </w:r>
    </w:p>
    <w:p>
      <w:r>
        <w:t>Dès lors que K.________ est condamné pour l’ensemble des faits qui lui sont reprochés dans l’acte d’accusation du 11 mai 2017, il doit supporter l’entier des frais de première instance, soit la somme de 2'250 fr. (art. 426 al. 1 CPP). Dans ces conditions, la conclusion prise par le prénommé dans son appel joint tendant à l’octroi d’une indemnité de 6'746 fr. 10 pour l’exercice raisonnable de ses droits pour la procédure de première instance ne peut qu’être rejetée. L’intimé succombant sur l’entier de son appel joint, sa prétention en indemnité pour ses frais de défense dans le cadre de la procédure de deuxième instance doit également être rejetée.</w:t>
      </w:r>
    </w:p>
    <w:p>
      <w:r>
        <w:rPr>
          <w:b/>
        </w:rPr>
        <w:t>E. 8</w:t>
      </w:r>
    </w:p>
    <w:p>
      <w:r>
        <w:t>En définitive, l’appel du Ministère public doit être partiellement admis, l’appel joint de K.________ rejeté et le jugement attaqué réformé dans le sens des considérants. Vu le sort de la procédure, les frais d’appel, comprenant l’émolument d’arrêt, par 2’050 fr. (art. 21 al. 1 TFIP [Tarif des frais de procédure et indemnités en matière pénale du 28 septembre 2010 ; RSV 312.03.1]), doivent être mis à la charge de K.________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