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56 vom 7. September 2017</w:t>
      </w:r>
    </w:p>
    <w:p>
      <w:r>
        <w:t>VD Tribunal cantonal, 2017-09-07, FR</w:t>
      </w:r>
    </w:p>
    <w:p>
      <w:r>
        <w:rPr>
          <w:b/>
        </w:rPr>
        <w:t xml:space="preserve">Quelle: </w:t>
      </w:r>
      <w:r>
        <w:t>https://mcp.opencaselaw.ch/entscheid/vd_findinfo_Jug___2018___56</w:t>
      </w:r>
    </w:p>
    <w:p>
      <w:r>
        <w:t>FR: VD_FINDINFO Jug / 2018 / 56 du 7 septembre 2017</w:t>
      </w:r>
    </w:p>
    <w:p>
      <w:r>
        <w:t>IT: VD_FINDINFO Jug / 2018 / 56 del 7 settembre 2017</w:t>
      </w:r>
    </w:p>
    <w:p>
      <w:pPr>
        <w:pStyle w:val="Heading2"/>
      </w:pPr>
      <w:r>
        <w:t>Regeste</w:t>
      </w:r>
    </w:p>
    <w:p>
      <w:r>
        <w:t>LOI FÉDÉRALE SUR LES STUPÉFIANTS ET LES SUBSTANCES PSYCHOTROPES, FIXATION DE LA PEINE, ATTÉNUATION DE LA PEINE | 47 CP, 48 let. e CP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de X.________ et l’appel joint du Ministère public sont recevables.</w:t>
      </w:r>
    </w:p>
    <w:p>
      <w:r>
        <w:rPr>
          <w:b/>
        </w:rPr>
        <w:t>E. 2</w:t>
      </w:r>
    </w:p>
    <w:p>
      <w:r>
        <w:t>e éd., Bâle 2014, n. 1 ad art. 398 CPP). Appel de X.________</w:t>
      </w:r>
    </w:p>
    <w:p>
      <w:r>
        <w:rPr>
          <w:b/>
        </w:rPr>
        <w:t>E. 3.1</w:t>
      </w:r>
    </w:p>
    <w:p>
      <w:r>
        <w:t>L'appel porte uniquement sur la peine. L'appelant fait valoir en premier lieu que les premiers juges n'auraient pas appliqué correctement les principes applicables en la matière, notamment dans le domaine des stupéfiants. Il s'en prend au rôle qui lui a été attribué dans l'organigramme du réseau. Il conteste que l'on puisse le catégoriser comme trafiquant international. Il estime que son rôle restait celui d'un subalterne s'approchant d'une mule, qu'il n'avait aucun subordonné et suivait servilement les instructions. L'appréciation du tribunal selon laquelle il était un « maillon indispensable, un rouage primordial de la chaîne pour l'acheminement de la drogue en Suisse » et qu'il a « joué un rôle déterminant au sein d'une importante organisation criminelle internationale dans la réception et la mise sur le marché d'une quantité non négligeable de cocaïne par plus d'une centaine de transports » reviendrait à le charger à plus d'une reprise sur la base d'un même critère.</w:t>
      </w:r>
    </w:p>
    <w:p>
      <w:r>
        <w:rPr>
          <w:b/>
        </w:rPr>
        <w:t>E. 3.2</w:t>
      </w:r>
    </w:p>
    <w:p>
      <w:r>
        <w:t>Selon l'art. 47 CP, également applicable aux infractions à la LStup (loi fédérale du 3 octobre 1951 sur les stupéfiants et les substances psychotropes ; RS 812.121) par renvoi de l'art.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A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w:t>
      </w:r>
    </w:p>
    <w:p>
      <w:r>
        <w:rPr>
          <w:b/>
        </w:rPr>
        <w:t>E. 3.3</w:t>
      </w:r>
    </w:p>
    <w:p>
      <w:r>
        <w:t>Il résulte des faits non contestés qu'entre avril 2011 et mai 2014, le prévenu a effectué 136 transports internationaux de cocaïne d'au minimum 2 kg par trajet. Il a ainsi importé en Suisse 272 kg bruts de cette drogue. Les premiers juges ont considéré que les trois aggravantes de l'art. 19 al. 2 Lstup étaient réalisées et qu'il serait dès lors tenu compte des deuxième et troisième dans le cadre de la fixation de la peine (jgt, p. 25 in limine ). Ils ont estimé que la durée de son activité, son professionnalisme et la confiance que l'organisateur principal du réseau – avec qui il avait des contacts directs et quotidiens – avait en lui, attestaient que le prévenu était un maillon indispensable du réseau et qu'il avait agi en qualité de trafiquant international et non de simple mule (jgt, p. 23). La culpabilité du prévenu était extrêmement lourde, parce qu'il n'avait pas hésité à se livrer à un trafic d'envergure internationale alors même qu'il avait un emploi et ne se trouvait donc pas dans une situation précaire. Son mobile relevait de l'appât du gain. Il avait joué un rôle déterminant au sein d'une importante organisation criminelle internationale par plus d'une centaine de transports. Il était un maillon indispensable, un rouage primordial de la chaîne pour l'acheminement de la drogue en Suisse. Sa participation active et régulière s'était étendue sur trois ans avec l'écoulement de près d'une centaine de kilos de cocaïne pure selon un procédé bien rôdé. La fréquence des livraisons attestait de son efficacité. Le prévenu était en contact direct avec l'organisateur principal du réseau. Il avait assumé son rôle avec professionnalisme en gagnant la confiance des commanditaires et en étant le seul transporteur attitré pour le réseau desservant Vaud et Genève. Il exécutait parfaitement les instructions, en particulier relatives à l'itinéraire emprunté pour éviter les contrôles aux douanes. Par son statut d'Européen, proche de la retraite, au volant d'un camping-car, il était la personne idéale pour brouiller les pistes et seule son arrestation avait mis fin à son activité. Il avait réalisé un bénéfice net de plus de 200'000 francs. Il avait de mauvais antécédents et récidivé un an après être sorti de prison. Il y avait concours d'infractions. A décharge, le Tribunal a tenu compte de la collaboration moyenne à l'enquête, de l'admission des faits aux débats, du bon comportement en détention, des regrets sincères, de la prise de conscience avec une volonté affirmée d'assumer ses actes, de l'âge proche de la retraite et des problèmes de santé « sérieux et irréversibles » (jgt, pp. 26-27). Dans le cas d'espèce, il ne s'agit pas tant de déterminer si c'est le qualificatif de « trafiquant international » ou celui de « mule » qui doit être attribué à l'appelant, mais bien plutôt d'examiner la réalité que ces termes recouvrent. Le prévenu transportait de la drogue pour autrui, était rémunéré pour cela et suivait les instructions reçues : dans cette mesure, il doit être assimilé à une mule. Mais il était une mule de luxe : il n'ingérait pas la drogue, ne prenant donc pas de risque vital, et recevait des quantités pouvant aller jusqu'à 5 kg par voyage. C'est d'ailleurs juste après avoir livré une telle quantité qu'il a été arrêté. Il avait forcément la confiance de l'organisateur, avec lequel il avait des contacts directs. Sa qualité d'Européen en camping-car, proche de la retraite, lui permettait d'éveiller moins de soupçons que les mules nigérianes ordinaires et faisait de lui un auxiliaire précieux à ménager. Il a effectué des transports internationaux une fois par semaine pendant trois ans. Il a ainsi importé des quantités gigantesques de cocaïne. Il n'a pas agi par besoin en tant que consommateur, mais uniquement par appât du gain. Il n'était pas menacé ni apeuré. En résumé, tous les signaux sont au rouge : réseau, trafic international, importation, durée des faits, quantités et mobile égoïste. Les considérants du jugement attaqué sont pertinents ; le rôle du prévenu n'a pas été mal apprécié ; les principes rappelés plus haut ont été correctement appliqués. Une rédaction même répétitive ne signifie pas qu'un poids excessif a été accordé à un élément. La peine de 10 ans n'est pas exagérément sévère, même si l'appelant n'était qu'un transporteur qui obéissait aux instructions reçues.</w:t>
      </w:r>
    </w:p>
    <w:p>
      <w:r>
        <w:rPr>
          <w:b/>
        </w:rPr>
        <w:t>E. 4.1</w:t>
      </w:r>
    </w:p>
    <w:p>
      <w:r>
        <w:t>L'appelant fait ensuite valoir qu'il devrait bénéficier des circonstances atténuantes résultant de la violation du principe de célérité et de l'art. 48 let. e CP. Il rappelle qu'il est né en 1953, qu'il a été arrêté en mars 2014 et jugé en septembre 2017 et que, le 22 mars 2016, le Tribunal des mesures de contrainte avait imparti un délai au Ministère public pour clore son instruction.</w:t>
      </w:r>
    </w:p>
    <w:p>
      <w:r>
        <w:rPr>
          <w:b/>
        </w:rPr>
        <w:t>E. 4.2</w:t>
      </w:r>
    </w:p>
    <w:p>
      <w:r>
        <w:t>L'art. 29 al. 1 Cst. garantit à toute personne, dans une procédure judiciaire ou administrative, le droit à ce que sa cause soit traitée dans un délai raisonnable. A l'instar de l'art.</w:t>
      </w:r>
    </w:p>
    <w:p>
      <w:r>
        <w:rPr>
          <w:b/>
        </w:rPr>
        <w:t>E. 4.3</w:t>
      </w:r>
    </w:p>
    <w:p>
      <w:r>
        <w:t>En l'espèce, la lecture du procès-verbal des opérations permet de constater que l'enquête a débuté avec l'arrestation de l'appelant, le 31 mai 2014, et s'est achevée avec la notification de l'acte d'accusation, le 1 er juin 2017. Les débats ont immédiatement été fixés au 5 septembre 2017. L'enquête s'est poursuivie sans désemparer. S'il y a eu des périodes de quelques mois sans entrée dans le procès-verbal, cela ne signifie pas qu'il ne s'est rien passé : il y avait des investigations en cours, telles que surveillances de télécommunications, commissions rogatoires, etc., dont le résultat n'est apparu qu'après coup. Il est vrai que, le 22 mars 2016, le Tribunal des mesures de contrainte avait estimé que le principe de célérité « pourrait être violé puisque l'instruction ne paraît plus se poursuivre sans désemparer » et exhorté le Procureur à engager l'accusation d'ici au 22 juin 2016. Toutefois, cette exhortation valait « sous réserve de mesures d'instruction que le prénommé (réd. : l'appelant) pourrait requérir ou de la découverte d'éléments nouveaux ». Le 7 juillet 2016, le Tribunal des mesures de contrainte a réexaminé la situation et considéré que le principe de célérité n'était pas violé. Le 22 novembre 2016, il a autorisé l'exploitation de données issues d'une surveillance téléphonique. Durant l'automne 2016, divers rapports de police ont encore été versés au dossier et l'audition récapitulative du prévenu a eu lieu. Après l'avis de prochaine clôture, envoyé le 25 novembre 2016, le Procureur, donnant suite à une réquisition de la défense (P. 136), a fait produire par diverses autorités judiciaires les jugements rendus contre d'autres trafiquants du réseau. Il n'y a pas de violation du principe de célérité. Les faits incriminés s'étendent entre le 30 avril 2011 et le 31 mai 2014. L'infraction grave à la LStup étant passible d'une peine privative de liberté d'un an au moins – et donc de vingt ans au plus (art. 40 al. 2 CP) –, le délai de prescription est de 15 ans (art. 97 al. 1 let. b CP). Or, 10 ans – soit les deux tiers – ne se sont pas écoulés depuis les faits les plus anciens. Il s'ensuit que l'application de l'art. 48 let. e CP est exclue, sans mentionner le fait que l'intérêt à punir n'a pas diminué, vu la durée des faits reprochés à l'appelant, ses antécédents et le fait que le trafic de stupéfiants constitue un grave problème de société. On ne peut en outre pas accorder au prévenu le crédit d'un bon comportement depuis les faits – auxquels seule son arrestation a mis fin – puisqu'il est en détention. 5. 5.1 L'appelant demande enfin que sa peine soit comparée avec celle des autres membres du réseau. 5.2 Dans le cadre de la fixation de la peine, le recourant peut faire valoir une inégalité de traitement (ATF 134 I 23 consid. 9). En effet, dans l'exercice de son pouvoir d'appréciation, le juge doit respecter, en particulier, le principe d'égalité de traitement (art. 8 al. 1 Cst. ; ATF 120 IV 136 consid. 3a).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2b ; TF 6B_207/2007 du 6 septembre 2007 consid. 4.2.2 ; TF 6S.199/2006 du 11 juillet 2006 consid. 4 in fine ).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Basler Kommentar, Strafrecht I, 3 e éd., 2013, n. 203 ad art. 47 CP). Les disparités en cette matière s'expliquent normalement par le principe de l'individualisation des peines, voulu par le législateur (ATF 135 IV 191 consid. 3.1 ; TF 6B_793/2011 du 26 janvier 2012 consid. 4.3). Des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123 IV 49 consid. 2e ; ATF 116 IV 292, JdT 1992 IV 104). La référence à un ou deux précédents où des peines clémentes ont été prononcées n'est pas suffisante pour prétendre à l'égalité de traitement (ATF 120 IV 136 consid. 3a ; ATF 114 lb 238). La jurisprudence a affirmé la primauté du principe de la légalité sur celui de l'égalité. Il ne suffit pas que la loi ait été mal appliquée dans un cas pour que le prévenu puisse prétendre à un droit à l'égalité dans l'illégalité (ATF 122 II 446 consid. 4a ; ATF 124 IV 44 consid. 2c ; TF 6S.270/2005 du 25 septembre 2005). Néanmoins, l'idée de ne pas créer un écart trop important entre deux coprévenus qui ont participé ensemble au même complexe de faits délictueux est soutenable (ATF 123 IV 150 consid. 2b). Ainsi, l'exigence d'égalité s'apprécie notamment au regard de ce qui est comparable, notamment les activités et les rôles respectifs des coprévenus dans la perpétration commune d'infractions.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 Dupuis et alii, Petit commentaire du Code pénal, Bâle 2017, 2 e éd., n. 2a ad art. 47 CP ; Favre/Pellet/Stoudmann, Code pénal annoté, 3 e éd., Lausanne 2011, n. 1.12 ad art. 47 CP). 5.3 Des jugements concernant d'autres membres du réseau figurent au dossier (P. 137-139, 143-146, 149, 150/3) : - [...] et [...], Nigérians aux casiers vierges, ont été condamnés à 5 ans. Ils étaient des réceptionnaires de la marchandise livrée par X.________. Le 19 avril 2014, ils ont reçu 3,37 kg de cocaïne ; le 20, ils ont été arrêtés pendant les opérations de remise de cette drogue à divers grossistes. - [...], Nigérian déjà condamné pour séjour illégal, a été condamné à 8 ans. Il était aussi un réceptionnaire, mais on lui a imputé 4 livraisons d'un kilo de cocaïne au moins chacune et une cinquième livraison de 4,54 kg, après laquelle il a été interpellé, ainsi que le blanchiment de quelque 26'950 francs. - [...], Nigérian déjà condamné pour séjour illégal, a été condamné à 6,5 ans. Il est passé de vendeur de rue à grossiste. Il a détenu 209 fingers de cocaïne : il en a vendu 160 et le solde a été saisi. Il vendait aussi des ecstasies. - [...], Nigérian au casier vierge, a été condamné à 4 ans. Il était aussi un grossiste. Il a été arrêté porteur de 11 fingers de cocaïne, soit 108,1 g, avec un comparse qui était lui-même porteur de 25 fingers pour 245,2 g. La perquisition de l'appartement dont ils sortaient a permis la découverte de 954 g de cocaïne supplémentaire. Les juges ont retenu qu'il avait encore, précédemment, détenu et aliéné plusieurs centaines de grammes de cette drogue. - [...], Nigérian sans antécédent, a été condamné à 6,5 ans. Il avait organisé trois livraisons de cocaïne en Suisse, depuis les Pays-Bas, pour un total de 5,036 kg. - [...], Soudanais déjà condamné pour infraction à la LEtr, a été condamné à 4,5 ans. Il avait réceptionné avec un comparse les livraisons d' [...] et livré cette marchandise à des grossistes. - [...], Nigérian sans casier en Suisse mais déjà inquiété en Allemagne pour un important trafic, a été condamné à 18 mois. Il avait acheté 11 fingers de cocaïne en vue de les vendre. - [...], Nigérian sans antécédent, a été condamné à 7 ans. Il a réceptionné, en deux fois, un total de 7,4 kg de cocaïne, à distribuer à divers grossistes. 3,06 kg ont été saisis. - [...] et [...], Allemands, ont été condamnés respectivement à 4 ans et 3 mois et 3 ans et 3 mois. Ils ont effectué deux transports de cocaïne de 1 kg et 1,5 kg, de Hollande en Suisse. Au vu de ces éléments, il va de soi que les 136 transports internationaux effectués par l'appelant pour 272 kg de cocaïne doivent être plus lourdement sanctionnés que les cas décrits ci-dessus. Un rôle subalterne dans l'organisation ne saurait occulter l'ampleur de l'activité exercée. De plus, l'appelant a de mauvais antécédents – même si c'est dans un autre domaine – et n'a pas l'excuse des Nigérians qui tentent d'échapper à la misère. Il n'y a pas de violation du principe d'égalité de traitement. L'appel doit ainsi être rejeté. Appel joint du Ministère public</w:t>
      </w:r>
    </w:p>
    <w:p>
      <w:r>
        <w:rPr>
          <w:b/>
        </w:rPr>
        <w:t>E. 6</w:t>
      </w:r>
    </w:p>
    <w:p>
      <w:r>
        <w:t>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 ATF 132 IV 1 consid.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ATF 132 IV 1 consid. 6.2.1).</w:t>
      </w:r>
    </w:p>
    <w:p>
      <w:r>
        <w:rPr>
          <w:b/>
        </w:rPr>
        <w:t>E. 6.1</w:t>
      </w:r>
    </w:p>
    <w:p>
      <w:r>
        <w:t>Le Parquet estime la peine trop clémente. Il ne met pas en avant d'autres éléments que ceux retenus par les premiers juges, mais est d'avis que ces éléments devaient conduire à prononcer une peine de 12 ans.</w:t>
      </w:r>
    </w:p>
    <w:p>
      <w:r>
        <w:rPr>
          <w:b/>
        </w:rPr>
        <w:t>E. 6.2</w:t>
      </w:r>
    </w:p>
    <w:p>
      <w:r>
        <w:t>Les principes relatifs au pouvoir d'appréciation du juge ont été rappelés plus haut (consid. 3.2).</w:t>
      </w:r>
    </w:p>
    <w:p>
      <w:r>
        <w:rPr>
          <w:b/>
        </w:rPr>
        <w:t>E. 6.3</w:t>
      </w:r>
    </w:p>
    <w:p>
      <w:r>
        <w:t>Dans son arrêt du 2 août 2016/268, la Cour de céans a confirmé une peine de 9 ans pour le chef d'une organisation criminelle. La peine de 10 ans est par conséquent adéquate et suffisante pour un transporteur rémunéré et non associé. L'appel joint doit être rejeté également.</w:t>
      </w:r>
    </w:p>
    <w:p>
      <w:r>
        <w:rPr>
          <w:b/>
        </w:rPr>
        <w:t>E. 7</w:t>
      </w:r>
    </w:p>
    <w:p>
      <w:r>
        <w:t>En conclusion, l'appel de X.________ et l'appel joint du Ministère public doivent être rejetés et le jugement entrepris confirmé. Me Robert Fox a produit une liste d'opérations à laquelle il faut ajouter le temps consacré à l'audience d'appel. Il sera par conséquent retenu, au tarif horaire de 180 fr., pour 2017 au taux de TVA à 8 %, 12,3 heures de travail, un déplacement à 120 fr. et des débours par 268 fr., soit la somme de 2'680 fr. 55, et pour 2018 au taux de TVA à 7,7 %, 1,7 heure de travail et 120 fr. pour la vacation relative à l'audience d'appel, soit la somme de 458 fr. 80. L'indemnité totale s'élève ainsi à 3'139 fr. 35, TVA et débours compris. Les frais de la procédure d’appel, comprenant l'émolument, par 2'270 fr. (art. 21 al. 1 et 2 TFIP [tarif des frais de procédure et indemnités en matière pénale du 28 septembre 2010 ; RSV 312.03.1]), et l'indemnité du défenseur d'office de l'appelant, par 3'139 fr. 35 fr., soit au total 5'409 fr. 35, doivent être mis pour trois quarts à la charge de l'appelant, le solde étant laissé à la charge de l'Etat. L'appelant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