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375 vom 17. August 2018</w:t>
      </w:r>
    </w:p>
    <w:p>
      <w:r>
        <w:t>VD Tribunal cantonal, 2018-08-17, FR</w:t>
      </w:r>
    </w:p>
    <w:p>
      <w:r>
        <w:rPr>
          <w:b/>
        </w:rPr>
        <w:t xml:space="preserve">Quelle: </w:t>
      </w:r>
      <w:r>
        <w:t>https://mcp.opencaselaw.ch/entscheid/vd_findinfo_Jug___2018___375</w:t>
      </w:r>
    </w:p>
    <w:p>
      <w:r>
        <w:t>FR: VD_FINDINFO Jug / 2018 / 375 du 17 août 2018</w:t>
      </w:r>
    </w:p>
    <w:p>
      <w:r>
        <w:t>IT: VD_FINDINFO Jug / 2018 / 375 del 17 agosto 2018</w:t>
      </w:r>
    </w:p>
    <w:p>
      <w:pPr>
        <w:pStyle w:val="Heading2"/>
      </w:pPr>
      <w:r>
        <w:t>Regeste</w:t>
      </w:r>
    </w:p>
    <w:p>
      <w:r>
        <w:t>ACCIDENT DE LA CIRCULATION, VIOLATION DES DEVOIRS EN CAS D'ACCIDENT, ERREUR SUR LES FAITS{DROIT PÉNAL}, MAÎTRISE DU VÉHICULE, DÉLIT DE FUITE | 31 al. 1 LCR, 51 al. 1 LCR, 51 al. 2 LCR, 90 al. 1 LCR, 92 al. 1 LCR, 325 al. 1 let. f CPP</w:t>
      </w:r>
    </w:p>
    <w:p>
      <w:pPr>
        <w:pStyle w:val="Heading2"/>
      </w:pPr>
      <w:r>
        <w:t>Erwägungen</w:t>
      </w:r>
    </w:p>
    <w:p>
      <w:r>
        <w:rPr>
          <w:b/>
        </w:rPr>
        <w:t>E. 1</w:t>
      </w:r>
    </w:p>
    <w:p>
      <w:r>
        <w:t>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rPr>
          <w:b/>
        </w:rPr>
        <w:t>E. 2.1</w:t>
      </w:r>
    </w:p>
    <w:p>
      <w:r>
        <w:t>Se plaignant d'une violation de la présomption d'innocence, l'appelant conteste sa condamnation pour violation simple des règles de la circulation routière. Il considère qu'il existe un doute sur la réalité du heurt entre les deux véhicules. Il fait en particulier valoir que le dossier ne comporterait aucune preuve visuelle du dommage du pare-chocs arrière de l'automobile de F.________ et que, au contraire, la photographie effectuée par ses soins ne laisserait apparaître aucun dommage sur ledit véhicule. Il ajoute que le gendarme n'aurait aucunement documenté ses constatations et que la facture de la carrosserie produite au dossier serait incompatible avec le peu de dégâts qu'il aurait pu causer s'il avait réellement touché le pare-chocs arrière.</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(ATF 120 la 31 c. 2c ; TF 6B_83112009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2.2.2</w:t>
      </w:r>
    </w:p>
    <w:p>
      <w:r>
        <w:t>L'art. 90 al. 1 LCR (Loi fédérale sur la circulation routière du 19 décembre 1958, RS 741.01) prévoit que celui qui viole les règles de la circulation prévues par la présente loi ou par les dispositions d'exécution émanant du Conseil fédéral est puni de l'amende. Titré en marge « maîtrise du véhicule », l’art. 31 al. 1 LCR dispose que le conducteur devra rester constamment maître de son véhicule de façon à pouvoir se conformer aux devoir de la prudence. Concrétisant ce devoir, l’art. 3 al. 1 OCR (Ordonnance sur les règles de la circulation routière du 13 novembre 1962 ; RS 741.11) a la teneur suivante : « le conducteur vouera toute son attention à la route et à la circulation. Il évitera toute occupation qui rendrait plus difficile la conduite du véhicule. Il veillera en outre à ce que son attention ne soit pas distraite, notamment ni par un appareil reproducteur de son ni par un quelconque système d’information ou de communication ».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commenté, 4 e éd. 2015, n. 2.4 ad art. 31 LCR).</w:t>
      </w:r>
    </w:p>
    <w:p>
      <w:r>
        <w:rPr>
          <w:b/>
        </w:rPr>
        <w:t>E. 2.3</w:t>
      </w:r>
    </w:p>
    <w:p>
      <w:r>
        <w:t>Au vu des éléments au dossier, l’autorité de céans est convaincue qu’il y a eu un heurt entre les véhicules de X.________ et de F.________ le 15 novembre 2017. Cette conviction se fonde tout d’abord sur les déclarations de F.________, qui, le jour de l’événement, a expliqué aux gendarmes qu’alors que son véhicule était immobile depuis environ trois secondes à la sortie d’un giratoire, elle avait « senti un choc à l’arrière » ; en raison du trafic, elle a redémarré, tout en mettant son indicateur à droite en vue de s’entretenir avec le conducteur du véhicule qui venait de la heurter, mais celui-ci a continué sa route. Entendu le même jour, X.________ a expliqué que, s’il y avait eu un impact, il ne s’en était pas rendu compte ; il a admis qu’il avait dû effectuer un freinage d’urgence après que son attention eut été détournée par les plaques bernoises du véhicule le précédant ; pensant ne pas avoir touché le véhicule de F.________, il a toutefois poursuivi son chemin ; en passant à côté du véhicule de la prénommée, il l’a vue lui faire des signes, mais il a néanmoins poursuivi sa route puisqu’il était persuadé de ne pas avoir touché cette voiture. Au terme de cette première audition, X.________ a déclaré : « je ne conteste pas avoir pu heurter la Mini Cooper aux plaques bernoises ». Lors de cette première audition, il a constaté, en présence des gendarmes, des dommages sur la plaque et le cadre de plaque de son véhicule . En cours d’instruction, le prévenu est revenu sur une partie de ses déclarations, en particulier sur le fait qu’il ne contestait pas avoir pu heurter la voiture de F.________. Il a également contesté tout dommage sur son véhicule. La Cour considère que les déclarations de F.________ sont claires et précises et on ne voit pas pour quel motif celle-ci incriminerait X.________, qu’elle ne connaissait pas, ni pour quelle raison elle se serait arrêtée à la sortie du giratoire si elle n’avait pas été heurtée. Au demeurant, les premières déclarations de X.________ laissent plutôt supposer qu’il y a effectivement eu un accident. Les rétractations de l’appelant ne sont pas crédibles et elles apparaissent uniquement dictées par la volonté du prévenu de se soustraire à toute responsabilité pénale, puis administrative. Au demeurant, les déclarations de F.________ sont corroborées, d’une part, par le rapport de la gendarmerie établi le 15 novembre 2017 qui indique, s’agissant des dégâts constatés sur le véhicule de F.________ : « pare-chocs AR endommagé » , et, d’autre part, par la facture de la carrosserie produite par F.________ sur requête de la Préfecture, étant précisé que, contrairement à ce que soutient l’appelant, le montant de cette facture – soit 1'060 fr. 25 – n’est pas incompatible avec les petites réparations successives à une collision du type de celle qui a été retenue considérant les vitesses respectives admises par les parties. Enfin, on ne peut rien déduire de la photographie produite par l’appelant sur laquelle figure l’arrière de la Mini Cooper incriminée, dès lors qu'on ne sait pas précisément quand celle-ci a été prise et qu’il n’est en particulier pas possible d’établir si elle est antérieure ou postérieure aux réparations qui ont à tout le moins été effectuées avant le 15 décembre 2017, date de l’émission de la facture du garage. En définitive, il y a lieu d’admettre que X.________, en ne parvenant pas à freiner avant de heurter le véhicule de F.________, a enfreint les devoirs prescrits par les art. 31 al. 1 LCR et 3 al. 1 OCR et qu’il s’est en conséquence rendu coupable de violation simple des règles de la circulation routière (art. 90 al. LCR).</w:t>
      </w:r>
    </w:p>
    <w:p>
      <w:r>
        <w:rPr>
          <w:b/>
        </w:rPr>
        <w:t>E. 3.1</w:t>
      </w:r>
    </w:p>
    <w:p>
      <w:r>
        <w:t>Invoquant une violation des art. 51 et 92 LCR, l'appelant soutient qu'il doit être mis au bénéfice d'une erreur sur les faits. Il explique qu'il n'a entendu aucun choc et n'a été confronté à aucun indice présageant d'un accident.</w:t>
      </w:r>
    </w:p>
    <w:p>
      <w:r>
        <w:rPr>
          <w:b/>
        </w:rPr>
        <w:t>E. 3.2.1</w:t>
      </w:r>
    </w:p>
    <w:p>
      <w:r>
        <w:t>L'art. 92 al. 1 LCR dispose que celui qui, lors d'un accident, aura violé les devoirs que lui impose la loi sur la circulation routière sera puni de l'amende. L'art. 51 al. 1 LCR fait obligation aux personnes impliquées dans un accident de s'arrêter immédiatement (1 ère phrase) ; ces dernières sont tenues d'assurer, dans la mesure du possible, la sécurité de la circulation (2 ème phrase). L'obligation de s'arrêter est fondamentale ; elle est préalable à tous les autres devoirs car elle doit permettre de constater la situation et de déterminer les mesures à prendre en fonction (cf. art. 51 al. 2 à 4 LCR). Elle est interprétée très strictement ; ainsi cette obligation intervient déjà à partir du moment où il existe une possibilité que le conducteur soit impliqué dans l'accident ou lorsque la survenance de celui-ci est probable (TF 6S.321/2002 du 12 novembre 2002 consid. 4 ; TF 6S.275/1995 du 22 août 1995 consid. 3a.b). Lorsque le conducteur s'accommode d'un doute et omet ainsi de s'assurer qu'aucun accident n'est intervenu, il viole ses devoirs déduits de l'art. 51 al. 1 1 ère phrase LCR (TF  6S.321/2002 du 12 novembre 2002 consid. 4).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pas dol éventuel s'il quitte les lieux (ATF 6B_1027/2013 du 14 avril 2014 consid. 3.1). Selon la règle générale de l'art. 100 LCR, l'infraction visée par l'art. 92 LCR est punie tant intentionnellement que par négligence (ATF 131 IV 36).</w:t>
      </w:r>
    </w:p>
    <w:p>
      <w:r>
        <w:rPr>
          <w:b/>
        </w:rPr>
        <w:t>E. 3.2.2</w:t>
      </w:r>
    </w:p>
    <w:p>
      <w:r>
        <w:t>Agit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(13 al. 1 CP). La punissabilité de la négligence entre éventuellement en considération lorsque l'erreur aurait pu être évitée en usant des précautions voulues et que la négligence est réprimée par la loi (art. 13 al. 2 CP). Les erreurs sur tous les éléments constitutifs d'une infraction qui impliquent des conceptions juridiques entrent dans le champ de l'art. 13 CP et non de l'art. 21 CP (ATF 129 IV 238 consid. 3.1 et 3.2, p. 240 s.). Il s'ensuit que pour examiner la question de l'erreur, le juge doit, préalablement, constater les éléments de fait déterminant les conditions subjectives de l'infraction.</w:t>
      </w:r>
    </w:p>
    <w:p>
      <w:r>
        <w:rPr>
          <w:b/>
        </w:rPr>
        <w:t>E. 3.3</w:t>
      </w:r>
    </w:p>
    <w:p>
      <w:r>
        <w:t>L'appelant conteste s'être rendu compte qu'il y avait eu un choc avec le véhicule le précédant. Cette thèse ne saurait être suivie. Au regard des éléments au dossier, l'intéressé devait nécessairement avoir des doutes au sujet de l'existence d'un accident. En effet, d'une part, dans le cadre de ses premières déclarations, il a admis qu'il avait dû effectuer un freinage d'urgence après que son attention eut été détournée par les plaques bernoises du véhicule le précédant. D'autre part, il a admis qu'il avait vu en passant à côté la conductrice de la Mini Cooper lui faire des signes pour s'arrêter. A ce moment, il ne pouvait donc pas s’accommoder de sa prétendue certitude que son freinage d’urgence avait été efficace et continuer sa route. Il lui appartenait à tout le moins de s’arrêter pour résoudre cette incertitude. Au vu de ces éléments, l’appelant, qui ne s’est pas arrêté et qui ne pouvait manifestement pas exclure le fait d’être impliqué dans un accident, s’est rendu coupable de violation des devoirs en cas d’accident (art. 51 et 92 LCR).</w:t>
      </w:r>
    </w:p>
    <w:p>
      <w:r>
        <w:rPr>
          <w:b/>
        </w:rPr>
        <w:t>E. 4.1</w:t>
      </w:r>
    </w:p>
    <w:p>
      <w:r>
        <w:t>L'appelant invoque encore une violation de l'art. 325 CPP, l'acte d'accusation ne contenant pas la mention de l'art. 92 LCR.</w:t>
      </w:r>
    </w:p>
    <w:p>
      <w:r>
        <w:rPr>
          <w:b/>
        </w:rPr>
        <w:t>E. 4.2</w:t>
      </w:r>
    </w:p>
    <w:p>
      <w:r>
        <w:t>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(TF 6B_666/2016 du 27 juin 2016).</w:t>
      </w:r>
    </w:p>
    <w:p>
      <w:r>
        <w:rPr>
          <w:b/>
        </w:rPr>
        <w:t>E. 4.3</w:t>
      </w:r>
    </w:p>
    <w:p>
      <w:r>
        <w:t>En l’espèce, le vice invoqué par X.________ dans le cadre de l’appel a été réparé par courrier du 3 octobre 2018, informant l’appelant du fait que l’autorité d’appel se réservait d’appliquer l’art. 92 LCR pour les faits décrits dans l’ordonnance pénale valant acte d’accusation (P. 19), ce à quoi il ne s’est d’ailleurs pas opposé (P. 20). Le vice dont souffrait l’ordonnance pénale servant d’acte d’accusation a ainsi valablement été réparé.</w:t>
      </w:r>
    </w:p>
    <w:p>
      <w:r>
        <w:rPr>
          <w:b/>
        </w:rPr>
        <w:t>E. 5</w:t>
      </w:r>
    </w:p>
    <w:p>
      <w:r>
        <w:t>En définitive, l’appel doit être rejeté et le jugement intégralement confirmé. Vu le sort de la procédure, les frais d’appel, constitués du seul émolument d’arrêt, par 810 fr. (art. 21 al. 1 TFIP [Tarif des frais de procédure et indemnités en matière pénale du 28 septembre 2010 ; RSV 312.03.1]), doivent être mis à la charge de X.________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