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342 vom 16. Dezember 2016</w:t>
      </w:r>
    </w:p>
    <w:p>
      <w:r>
        <w:t>VD Tribunal cantonal, 2016-12-16, FR</w:t>
      </w:r>
    </w:p>
    <w:p>
      <w:r>
        <w:rPr>
          <w:b/>
        </w:rPr>
        <w:t xml:space="preserve">Quelle: </w:t>
      </w:r>
      <w:r>
        <w:t>https://mcp.opencaselaw.ch/entscheid/vd_findinfo_Jug___2018___342</w:t>
      </w:r>
    </w:p>
    <w:p>
      <w:r>
        <w:t>FR: VD_FINDINFO Jug / 2018 / 342 du 16 décembre 2016</w:t>
      </w:r>
    </w:p>
    <w:p>
      <w:r>
        <w:t>IT: VD_FINDINFO Jug / 2018 / 342 del 16 dicembre 2016</w:t>
      </w:r>
    </w:p>
    <w:p>
      <w:pPr>
        <w:pStyle w:val="Heading2"/>
      </w:pPr>
      <w:r>
        <w:t>Regeste</w:t>
      </w:r>
    </w:p>
    <w:p>
      <w:r>
        <w:t>RÉVISION{DÉCISION}, DÉCISION D'IRRECEVABILITÉ | 410 al. 1 let. a CPP (CH), 412 al. 2 CPP (CH)</w:t>
      </w:r>
    </w:p>
    <w:p>
      <w:pPr>
        <w:pStyle w:val="Heading2"/>
      </w:pPr>
      <w:r>
        <w:t>Erwägungen</w:t>
      </w:r>
    </w:p>
    <w:p>
      <w:r>
        <w:rPr>
          <w:b/>
        </w:rPr>
        <w:t>E. 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(ATF 137 IV 59 consid. 5.1.2 pp. 66 s.). Ils sont sérieux lorsqu'ils sont propres à ébranler les constatations de fait sur lesquelles se fonde la condamnation et que l'état de fait ainsi modifié rend possible un jugement sensiblement plus favorable au condamné (ATF 137 IV 59 consid. 5.1.4 p. 68). La demande de révision en raison de faits ou de moyens de preuves nouveaux n'est soumise à aucun délai (art. 411 al. 2 in fine CPP). La procédure du rescindant instituée par le CPP se déroule, en principe, en deux phases comprenant un examen préalable de la recevabilité (art. 412 al. 1 et 2 CPP) puis celui des motifs invoqués (art. 412 al. 3 et 4 et 413 CPP). Il s'agit de deux étapes d'une seule et même procédure de la compétence de la juridiction d'appel (art. 412 al. 1 et 3 CPP). Aux termes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(TF 6B_1113/2017 du 8 mars 2018, consid.</w:t>
      </w:r>
    </w:p>
    <w:p>
      <w:r>
        <w:rPr>
          <w:b/>
        </w:rPr>
        <w:t>E. 1.1</w:t>
      </w:r>
    </w:p>
    <w:p>
      <w:r>
        <w:t>; TF 6B_350/2017 du 6 novembre 2017 consid. 1.2.2; TF 6B_71/2017 du 14 février 2017 consid. 1.1; TF 6B_742/2014 du 22 juin 2015 consid. 3.3 et la référence citée).</w:t>
      </w:r>
    </w:p>
    <w:p>
      <w:r>
        <w:rPr>
          <w:b/>
        </w:rPr>
        <w:t>E. 2</w:t>
      </w:r>
    </w:p>
    <w:p>
      <w:r>
        <w:t>En l'espèce, le requérant se prévaut d'un arrêt du Tribunal administratif fédéral rendu le 24 avril 2018 aux termes duquel la commercialisation de cigarettes électroniques contenant la nicotine est autorisée en Suisse à certaines conditions. Il ne se prévaut donc pas d'un fait nouveau mais d'une nouvelle jurisprudence, laquelle ne saurait toutefois constituer un motif de révision, le but de la révision étant de permettre la correction d'une erreur de fait et non de droit. (CAPE 19 avril 2013/110 consid. 3.3; Marianne Heer, in: Niggli/Heer/Wiprächtiger (éd.), Basler Kommentar, Schweizerische Strafprozessordnung, Jugendstrafprozessordnung, 2 e éd., Bâle 2014, n. 51 ad art. 410 CPP et les réf. citées). Force est ainsi de constater qu’I.________ ne présente aucun fait ou moyen de preuve nouveau, propre à ébranler les constatations de fait sur lesquelles s'est fondée sa condamnation.</w:t>
      </w:r>
    </w:p>
    <w:p>
      <w:r>
        <w:rPr>
          <w:b/>
        </w:rPr>
        <w:t>E. 3</w:t>
      </w:r>
    </w:p>
    <w:p>
      <w:r>
        <w:t>Il résulte de ce qui précède que les motifs de révision invoqués sont d’emblée manifestement mal fondés, de sorte que la demande de révision présentée par I.________ doit être déclarée irrecevable (art. 412 al. 2 CPP). Vu l’issue de la cause, les frais de la procédure de révision, par 440 fr. (art. 21 et 22 TFIP [Tarif des frais de procédure et indemnités en matière pénale du 28 septembre 2010 ; RSV 312.03.1]), doivent être mis à la charge d’I.________.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