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316 vom 20. April 2018</w:t>
      </w:r>
    </w:p>
    <w:p>
      <w:r>
        <w:t>VD Tribunal cantonal, 2018-04-20, FR</w:t>
      </w:r>
    </w:p>
    <w:p>
      <w:r>
        <w:rPr>
          <w:b/>
        </w:rPr>
        <w:t xml:space="preserve">Quelle: </w:t>
      </w:r>
      <w:r>
        <w:t>https://mcp.opencaselaw.ch/entscheid/vd_findinfo_Jug___2018___316</w:t>
      </w:r>
    </w:p>
    <w:p>
      <w:r>
        <w:t>FR: VD_FINDINFO Jug / 2018 / 316 du 20 avril 2018</w:t>
      </w:r>
    </w:p>
    <w:p>
      <w:r>
        <w:t>IT: VD_FINDINFO Jug / 2018 / 316 del 20 aprile 2018</w:t>
      </w:r>
    </w:p>
    <w:p>
      <w:pPr>
        <w:pStyle w:val="Heading2"/>
      </w:pPr>
      <w:r>
        <w:t>Regeste</w:t>
      </w:r>
    </w:p>
    <w:p>
      <w:r>
        <w:t>CONTRAINTE{DROIT PÉNAL}, INSOUMISSION À UNE DÉCISION DE L'AUTORITÉ, REJET DE LA DEMANDE | 181 CP, 292 CP</w:t>
      </w:r>
    </w:p>
    <w:p>
      <w:pPr>
        <w:pStyle w:val="Heading2"/>
      </w:pPr>
      <w:r>
        <w:t>Erwägungen</w:t>
      </w:r>
    </w:p>
    <w:p>
      <w:r>
        <w:rPr>
          <w:b/>
        </w:rPr>
        <w:t>E. 1</w:t>
      </w:r>
    </w:p>
    <w:p>
      <w:r>
        <w:t>CPP), l’appel de K.________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3.1</w:t>
      </w:r>
    </w:p>
    <w:p>
      <w:r>
        <w:t>Dans sa déclaration d’appel, K.________ a requis les auditions en qualité de témoins de [...], [...] et du Dr [...]. Il considère en substance que l’audition de ces trois témoins serait en mesure d’éclairer la Cour sur le caractère personnel particulier de B.________ et de Q.________ et que cela aurait une incidence sur la part des frais mise à sa charge.</w:t>
      </w:r>
    </w:p>
    <w:p>
      <w:r>
        <w:rPr>
          <w:b/>
        </w:rPr>
        <w:t>E. 3.2</w:t>
      </w:r>
    </w:p>
    <w:p>
      <w:r>
        <w:t>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6B_977/2014 du 17 août 2015 consid. 1.2 et les références citées).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(ATF 136 I 229 consid. 5.3 ; ATF 131 I 153 consid. 3). Sans violer le droit d’être entendu, le tribunal peut rejeter une requête tendant à l’administration de preuves s’il parvient à la conviction, fondée sur une appréciation non arbitraire des éléments déjà en sa possession, que les faits juridiquement pertinents sont suffisamment établis. Il est par ailleurs en droit de considérer, sur la base d’une appréciation anticipée et non arbitraire des preuves supplémentaires dont l’administration est sollicitée, que cette dernière ne modifierait pas sa conviction (TF 6B_1251/2014 du 1 er juin 2015 consid. 1.3).</w:t>
      </w:r>
    </w:p>
    <w:p>
      <w:r>
        <w:rPr>
          <w:b/>
        </w:rPr>
        <w:t>E. 3.3</w:t>
      </w:r>
    </w:p>
    <w:p>
      <w:r>
        <w:t>La question de savoir si B.________ et Q.________ n’ont pas un caractère facile et peuvent être provocantes et rusées n’est pas pertinente pour juger la cause. Ce qui est déterminant ce sont les nombreux courriers et SMS que le prévenu a adressé aux prénommées, ou à des tiers, qui contiennent des propos injurieux tels que ceux figurant dans l’ordonnance pénale citée plus haut (cf. consid Ad supra). S’agissant de l’audition du médecin-traitant de K.________, pour qu’il renseigne la Cour sur « la personne de Monsieur [...], des attitudes des anciennes parties plaignantes », elle n’est pas davantage pertinente, si ce n’est qu’elle démontre la propension du prévenu à inverser les rôles. En conclusion, les éléments au dossier suffisent au traitement de l'appel et il convient de rejeter les mesures d'instruction complémentaires proposées par l'appelant.</w:t>
      </w:r>
    </w:p>
    <w:p>
      <w:r>
        <w:rPr>
          <w:b/>
        </w:rPr>
        <w:t>E. 4.1</w:t>
      </w:r>
    </w:p>
    <w:p>
      <w:r>
        <w:t>L’appelant conclut ensuit à sa libération des chefs de prévention de contrainte et d’insoumission à une décision de l’autorité.</w:t>
      </w:r>
    </w:p>
    <w:p>
      <w:r>
        <w:rPr>
          <w:b/>
        </w:rPr>
        <w:t>E. 4.2.1</w:t>
      </w:r>
    </w:p>
    <w:p>
      <w:r>
        <w:t>Se rend coupable de contrainte celui qui, en usant de violence envers une personne ou en la menaçant d'un dommage sérieux, ou en l'entravant de quelque autre manière dans sa liberté d'action, l'aura obligée à faire, à ne pas faire ou à laisser faire un acte (art. 181 CP).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134 IV 216 consid. 4.2; 119 IV 301 consid. 2a). Il n'est pas nécessaire que la liberté d'action soit complètement supprimée ; il suffit qu'elle soit entravée, diminuant les moyens de résistance de la victime. Parmi les moyens cités figurent l'alcool, l'utilisation de l'esbroufe et de l'intimidation, le harcèlement, soit le fait d'importuner la victime par sa présence de manière répétée pendant une période prolongée (« stalking »). Les procédés de « stalking », soit la persécution obsessionnelle et durable d’une personne, tombent ainsi sous le coup de l’art. 181 CP. Ainsi, lorsque l’auteur importune la victime par sa présence de manière répétée pendant une période prolongée, chaque acte de harcèlement devient susceptible d’entraver la liberté d’action de celle-ci (not. ATF 129 IV 262, c. 2.3 à 2.5). Chaque acte pris individuellement peut être poursuivi sur plainte s’il est par exemple constitutif de menaces ou d’abus du téléphone. En cas de retrait de la plainte, ces actes, pris dans leur ensemble, peuvent être constitutifs de contrainte, cette infraction primant alors celles poursuivies sur plainte (Christian Favre, Marc Pellet et Patrick Stoudmann in Code pénal annoté, éditions bis et ter 2011, note 1.9 ad art. 181 CP). La contrainte n'est contraire au droit que si elle est illicite (ATF 120 IV 17 consid. 2a),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137 IV 326 consid. 3.3.1; 134 IV 216 consid. 4.1; 120 IV 17 consid. 2a/bb). Sur le plan subjectif, il faut que l'auteur ait agi intentionnellement, c'est-à-dire qu'il ait voulu contraindre la victime à adopter le comportement visé en étant conscient de l'illicéité de son comportement ; le dol éventuel suffit (ATF 120 IV 17 consid. 2c p. 22).</w:t>
      </w:r>
    </w:p>
    <w:p>
      <w:r>
        <w:rPr>
          <w:b/>
        </w:rPr>
        <w:t>E. 4.2.2</w:t>
      </w:r>
    </w:p>
    <w:p>
      <w:r>
        <w:t>En l’occurrence, K.________ a admis les faits lui étaient reprochés, soit l’envoi de très nombreux messages insultants et de courriers envoyés plusieurs fois par semaine. Aux débats de première instance, il a maintenu ses déclarations et a admis qu’il avait fait parvenir à son ex-femme de nombreux courriers par voie postale, ainsi qu’à B.________. Au dossier de la cause figurent un nombre important de courriers et SMS que le prévenu a adressé aux plaignantes, ou à des tiers (P. 24/2), ces documents contenaient généralement des propos injurieux. Comme l’a à juste titre relevé le premier juge, l’ensemble de ces écrits, outre le fait d’être injurieux, respectivement calomniateur, est également constitutif de « stalking », vu le nombre et la période pendant laquelle ces missives ont été adressées à Q.________ et B.________, d’autant plus qu’il était cumulé aux autres actes constitutifs en soi de contrainte. Cela signifie que l’infraction de contrainte au sens de l’art. 181 CP doit être retenue sous cette angle à l’égard de K.________. En effet, cette infraction est admise lorsque l'auteur importune sa victime par sa présence de manière répétée pendant une période prolongée, chaque acte de harcèlement devenant un acte d'entrave (cf. consid. 4.2.1 supra). Vu ce qui précède, c’est à raison que le premier juge a  reconnu K.________ coupable de contrainte pour avoir envoyé, entre le mois de janvier 2014 et le 28 février 2016, de nombreux courriers par voie postale à son ancienne épouse ainsi qu’à B.________ et pour s’être déplacé au domicile de son ex-épouse à de nombreuses reprises dans le but de l’épier notamment. Le fait que le prévenu indique avoir fait cela parce qu’il s’inquiétait de l’état de santé de son ex-épouse ou parce que les plaignantes l’auraient cherché n’y changerait, cas échéant, rien.</w:t>
      </w:r>
    </w:p>
    <w:p>
      <w:r>
        <w:rPr>
          <w:b/>
        </w:rPr>
        <w:t>E. 4.3.1</w:t>
      </w:r>
    </w:p>
    <w:p>
      <w:r>
        <w:t>Aux termes de l’art. 292 CP, celui qui ne se sera pas conformé à une décision à lui signifiée, sous la menace de la peine prévue au présent article, par une autorité ou un fonctionnaire compétents sera puni d’une amende. Cette infraction suppose que le comportement ordonné par l'autorité soit décrit avec suffisamment de précision pour que le destinataire sache clairement ce qu'il doit faire ou ce dont il doit s'abstenir, et partant quel comportement ou omission est susceptible d'entraîner une sanction pénale (ATF 124 IV 297 consid. 4d). Cette exigence de précision est une conséquence du principe "nullum crimen sine lege" de l'art. 1 CP (cf. ATF 127 IV 119 consid. 2a et les références citées). L'insoumission à une décision de l'autorité n'est punissable que si la commination a été signifiée sous la menace de la peine prévue par cette disposition. La notification de l'injonction doit indiquer avec précision les sanctions auxquelles le destinataire s'expose s'il n'obtempère pas. Il ne suffit pas de se référer à l'art. 292 CP ou de parler de sanctions pénales. Il faut indiquer précisément qu'une insoumission est, en vertu de l'art. 292 CP, passible de l'amende (ATF 105 IV 248 consid. 1; voir également ATF 131 IV 132 consid. 3 ; ATF 124 IV 297 consid. 4e). Lorsqu’une injonction relève du droit administratif au sens large, le juge pénal ne peut pas revoir la légalité de cette décision si une autorité judiciaire a contrôlé la légalité de l’injonction (ATF 121 IV 31 consid. 2a ; Corboz, Les infractions en droit suisse, vol. I, 3e éd, Berne 2010, n. 11 ss ad art. 292 CP).</w:t>
      </w:r>
    </w:p>
    <w:p>
      <w:r>
        <w:rPr>
          <w:b/>
        </w:rPr>
        <w:t>E. 4.3.2</w:t>
      </w:r>
    </w:p>
    <w:p>
      <w:r>
        <w:t>En l’occurrence, le 22 mai 2015, une ordonnance de mesures superprovisionnelles a été rendue, interdisant au prévenu, sous la menace de la peine d'amende de l'art. 292 CP: - d'approcher ou d'accéder au périmètre délimité par l'avenue Général-Guisan, la rue du Pavé, la route du Pré-de-Vert, la route de l'Estivage et la voie de chemin de fer sis à la Commune d'Avenches; - d'emprunter les rues comprises dans le périmètre cité ci-après, à savoir: avenue Général-Guisan, rue du Pavé, route du Pré-de-Vert, route de l'Estivage, route Industrielle, place de la Gare, chemin des Pâquerettes, impasse de la Gare, route du Moulin, chemin des Pinsons, chemin des Hirondelles; - d'approcher à moins de 200 mètres ou de prendre contact avec Q.________, notamment par téléphone, par écrit ou par la voie électronique, ou de lui causer d'autres dérangements visuels ou sonores. Le prévenu a confirmé aux débats de première instance avoir eu connaissance de cette ordonnance de mesures provisionnelles le 2 juin 2015 et rien au dossier ne contredit cette affirmation. Partant, c’est à juste titre que K.________ a été reconnu coupable d’insoumission à une décision de l’autorité pour avoir, le 25 juin, le 5 août et le 9 octobre 2015, envoyé des courriers à Q.________ et pour s’être rendu à son domicile le 28 février 2016 alors que cela lui avait été interdit par décision de justice.</w:t>
      </w:r>
    </w:p>
    <w:p>
      <w:r>
        <w:rPr>
          <w:b/>
        </w:rPr>
        <w:t>E. 5.1</w:t>
      </w:r>
    </w:p>
    <w:p>
      <w:r>
        <w:t>Le recourant conteste enfin la peine qui lui a été infligée. Il requiert le prononcé d’une peine pécuniaire de 10 jours-amende à 20 fr. le jour, avec sursis durant deux ans.</w:t>
      </w:r>
    </w:p>
    <w:p>
      <w:r>
        <w:rPr>
          <w:b/>
        </w:rPr>
        <w:t>E. 5.2</w:t>
      </w:r>
    </w:p>
    <w:p>
      <w:r>
        <w:t>En l’espèce, l'appréciation effectuée par le premier juge de la culpabilité de K.________ prend en considération les éléments à charge et à décharge (jugement attaqué p 32). Le premier juge a en substance retenu à charge l es nombreux courriers envoyés aux plaignantes et le fait qu’il avait fait de nombreux écarts aux règles de conduite indiquées par le Ministère public lors des audiences du 20 février et du 23 septembre 2015. Il a mis en avant le fait que le prévenu se posait essentiellement en victime en arguant tout le temps que ce n’était pas lui qui avait commencé mais les autres. A décharge, le premier juge a tenu compte d’une légère diminution de responsabilité au moment des faits (P. 80), ainsi que du fait que K.________ n’avait pas récidivé depuis longtemps, qu’il avait pris conscience que ses actes étaient « débiles » et qu’avec le recul, il se rendait bien compte qu’il aurait dû arrêter ses agissements plus tôt. Tout bien considéré, la peine pécuniaire de 40 jours-amende à 20 fr. le jour prononcée par le premier juge est adéquate et correspond à la culpabilité de l’appelant. Elle doit dès lors être confirmée. L’appelant pourra en outre bénéficier du sursis dont il remplit les conditions tant objectives et que subjectives. Les motifs qui précèdent conduisent également au prononcé d’une amende d’un montant 200 fr. pour la contravention commise par l’appelant, dite amende tenant compte adéquatement de sa culpabilité, ainsi que de sa situation personnelle et financière.</w:t>
      </w:r>
    </w:p>
    <w:p>
      <w:r>
        <w:rPr>
          <w:b/>
        </w:rPr>
        <w:t>E. 6.1</w:t>
      </w:r>
    </w:p>
    <w:p>
      <w:r>
        <w:t>Enfin, l’appelant semble contester l’appréciation du premier juge selon laquelle sans les retraits de plaintes pénales, K.________ se serait rendu coupable de calomnie, d’injure et d’utilisation abusive d’une installation de télécommunication, qu’il y a lieu d’en tenir compte dans la fixation des frais mis à sa charge.</w:t>
      </w:r>
    </w:p>
    <w:p>
      <w:r>
        <w:rPr>
          <w:b/>
        </w:rPr>
        <w:t>E. 6.2</w:t>
      </w:r>
    </w:p>
    <w:p>
      <w:r>
        <w:t>L’art.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de la Confédération suisse du 18 avril 1999 ; RS 101) et 6 par. 2 CEDH (Convention européenne de sauvegarde des droits de l'homme et des libertés fondamentales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(Code des obligation du 30 mars 1911 ; RS 220). Le fait reproché doit constituer une violation claire de la norme de comportement (ATF 119 Ia 332 consid. 1b et les références citées). Il doit en outre se trouver dans une relation de causalité adéquate avec l'ouverture de l'enquête ou les obstacles mis à celle-ci (ATF 116 Ia 162 consid. 2c ; TF 6B_832/2014 du 24 avril 2015 consid. 1.2).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 TF 6B_706/2014 du 28 août 2015).</w:t>
      </w:r>
    </w:p>
    <w:p>
      <w:r>
        <w:rPr>
          <w:b/>
        </w:rPr>
        <w:t>E. 6.3</w:t>
      </w:r>
    </w:p>
    <w:p>
      <w:r>
        <w:t>Au regard des éléments qui précèdent, il est établi que le prévenu a notamment injurié B.________ et Q.________. Si ces faits ne sont plus poursuivis à la suite des retraits des plaintes pénales, ils n'en constituent pas moins une atteinte à la personnalité des prénommées, et par là une violation de l'art. 28 CC (Code civil du 10 décembre 1907; RS 210). On rappellera à cet égard qu’au dossier de la cause figurent un nombre important de courriers et SMS que le prévenu a adressé aux plaignantes, ou à des tiers (P. 24/2), écrits contenant généralement des propos injurieux, tels que ceux figurant dans l’ordonnance pénale tenant lieu d’acte d’accusation (P. 4/2, 20/2, 24/4, 24/5, 24/6, 34/3, 37/3, 39/2, 39/3, 39/4, 39/5, 40/2, 40/3, 40/4, 42/2, 42/3, 58/2, 58/3, 58/4, 59/2, 65/2, 66/2, 67, soit notamment « pochtron », « racaille », « connard », « porc », « infréquentable », « sale racaille de pochtron voleur menteur », « idiote », « taré » ou encore de « porks ». Partant, c’est à juste titre qu’une partie correspondant à quatre cinquièmes des frais de première instance ont été mis à la charge de K.________. Le raisonnement du premier juge sur ce point ne prête pas le flanc à la critique.</w:t>
      </w:r>
    </w:p>
    <w:p>
      <w:r>
        <w:rPr>
          <w:b/>
        </w:rPr>
        <w:t>E. 7</w:t>
      </w:r>
    </w:p>
    <w:p>
      <w:r>
        <w:t>En définitive, l’appel doit être rejeté et le jugement attaqué confirmé. Sur la base de la liste des opérations produite par Me Stephen Gintzburger, défenseur d’office de K.________, et dont il n’y a pas lieu de s’écarter, une indemnité pour la procédure d’appel d'un montant de 1'583 fr. 20, TVA et débours inclus, lui sera allouée. Vu l'issue de la cause, les frais d'appel, constitués de l’émolument de jugement, par 2’570 fr. (art. 21 al. 1 TFIP [Tarif des frais de procédure et indemnités en matière pénale du 28 septembre 2010 ; RSV 312.03.1]), et de l’indemnité allouée au défenseur d’office, seront mis à la charge de K.________, qui succombe (art. 428 al. 1 CPP). Ce dernier ne sera tenu de rembourser à l’Etat le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