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303 vom 20. Dezember 2017</w:t>
      </w:r>
    </w:p>
    <w:p>
      <w:r>
        <w:t>VD Tribunal cantonal, 2017-12-20, FR</w:t>
      </w:r>
    </w:p>
    <w:p>
      <w:r>
        <w:rPr>
          <w:b/>
        </w:rPr>
        <w:t xml:space="preserve">Quelle: </w:t>
      </w:r>
      <w:r>
        <w:t>https://mcp.opencaselaw.ch/entscheid/vd_findinfo_Jug___2018___303</w:t>
      </w:r>
    </w:p>
    <w:p>
      <w:r>
        <w:t>FR: VD_FINDINFO Jug / 2018 / 303 du 20 décembre 2017</w:t>
      </w:r>
    </w:p>
    <w:p>
      <w:r>
        <w:t>IT: VD_FINDINFO Jug / 2018 / 303 del 20 dicembre 2017</w:t>
      </w:r>
    </w:p>
    <w:p>
      <w:pPr>
        <w:pStyle w:val="Heading2"/>
      </w:pPr>
      <w:r>
        <w:t>Regeste</w:t>
      </w:r>
    </w:p>
    <w:p>
      <w:r>
        <w:t>ESCROQUERIE, ABUS DE CONFIANCE, AUTEUR{DROIT PÉNAL} | 138 ch. 1 CP, 146 CP</w:t>
      </w:r>
    </w:p>
    <w:p>
      <w:pPr>
        <w:pStyle w:val="Heading2"/>
      </w:pPr>
      <w:r>
        <w:t>Erwägungen</w:t>
      </w:r>
    </w:p>
    <w:p>
      <w:r>
        <w:rPr>
          <w:b/>
        </w:rPr>
        <w:t>E. 1</w:t>
      </w:r>
    </w:p>
    <w:p>
      <w:r>
        <w:t>Interjetés dans les formes et délai légaux (art. 399 CPP) par des parties ayant la qualité pour recourir contre le jugement d’un tribunal de première instance ayant clos la procédure (art. 398 al. 1 CPP), l’appel de B.H.________ et l'appel joint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 I. Appel de B.H.________ sur le cas 5 de l'acte d'accusation</w:t>
      </w:r>
    </w:p>
    <w:p>
      <w:r>
        <w:rPr>
          <w:b/>
        </w:rPr>
        <w:t>E. 3.1</w:t>
      </w:r>
    </w:p>
    <w:p>
      <w:r>
        <w:t>Invoquant implicitement le principe in dubio pro reo , l'appelant conteste sa condamnation pour escroquerie en raison des faits décrits au chiffre 5 de l'acte d'accusation du 20 juin 2017, dont la teneur est la suivante (cf. jgt, pp. 34 et 35): « 5) A […], entre le 1 er octobre 2008 et le 31 juillet 2013, les prévenus, C.H.________ et B.H.________ ont créé un emploi fictif en faveur de ce dernier qui a été engagé en qualité d'employé à un taux d'activité de 100%, au sein de la Garderie Y.________. B.H.________ n'a pas respecté son taux d'activité. Il a ainsi indûment perçu un salaire, subventionné par I'E.________, correspondant à une activité à 100%. Me Eric Cerottini, conseil juridique de l'E.________, a déposé plainte au nom de cette dernière le 6 janvier 2014. Une convention été signée entre C.H.________ et l'E.________ le 29 juillet 2016 (P. 60/2). » L'appelant fait en substance valoir que les juges se seraient trompés dans la lecture des auditions et des pièces en ne retenant que les éléments à charge, et en omettant qu'au moment de la reprise de la garderie par l'E.________, cette dernière n'aurait fait aucune remarque quant à son emploi d' « homme à tout faire ». Cet emploi, selon ses dires parfaitement réel, n'aurait pas imposé une présence constante dans les locaux, ni un horaire précis, ni une journée type de travail. Il conteste en outre que l'on puisse retenir une quelconque astuce, ou une volonté de tromper, ou encore un dessein d'enrichissement illégitime. Enfin, s'il admet, vu sa position de président d'une association, que la question d'une négligence d'un organe pourrait se poser, il fait valoir qu'il s'agirait d'une question civile et non pénale.</w:t>
      </w:r>
    </w:p>
    <w:p>
      <w:r>
        <w:rPr>
          <w:b/>
        </w:rPr>
        <w:t>E. 3.2.1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nn. 19 ss ad art. 398 CPP, et les références jurisprudentielles citées).</w:t>
      </w:r>
    </w:p>
    <w:p>
      <w:r>
        <w:rPr>
          <w:b/>
        </w:rPr>
        <w:t>E. 3.2.2</w:t>
      </w:r>
    </w:p>
    <w:p>
      <w:r>
        <w:t>Selon l’art. 146 CP (Code pénal suisse du 21 décembre 1937;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ATF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ATF 131 IV 83 consid. 2.1.3).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 81).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 TF 6B_1115/2014 du 28 août 2015).</w:t>
      </w:r>
    </w:p>
    <w:p>
      <w:r>
        <w:rPr>
          <w:b/>
        </w:rPr>
        <w:t>E. 3.3</w:t>
      </w:r>
    </w:p>
    <w:p>
      <w:r>
        <w:t>Le Tribunal correctionnel a retenu que l'emploi prévu à 100 % était exercé par B.H.________ à un taux bien inférieur, sans toutefois évaluer précisément celui-ci, et que cet emploi était donc en grande partie fictif (cf. jgt, p. 39). La conviction des premiers juges à cet égard repose sur les éléments suivants: – l'incapacité du prévenu de décrire précisément ses activités professionnelles, une journée de travail typique ou son emploi du temps usuel (cf. jgt, p. 35); – la discordance entre, d'une part, ses dernières déclarations relatives à ses occupations professionnelles d'« homme à tout faire » (amener les enfants à l'école le matin, apporter des déchets à la déchetterie, faire des travaux, fabriquer des meubles [PV aud. 26, R. à D. 13], régler la circulation le lundi matin de 7 à 8 heures à l'arrivée des véhicules des parents, repeindre au gré des saisons tous les murs de la garderie de [...] selon les souhaits des éducatrices, acheter des matériaux au meilleur prix, s'occuper d'enfants) (jgt, p. 14) et, d'autre part, ses premières déclarations où il disait ne pas s'occuper des enfants, mais se consacrer à l'entretien et à la rénovation des locaux et du mobilier des deux garderies de [...] et d'[...] (PV aud. 2, R. à D. 5); – l'absence de preuve d'une activité à 100 %, les témoins L.________, [...] et [...] ayant décrit une présence irrégulière et ponctuelle de l'intéressé dans les deux locaux de la garderie et n'ayant pas confirmé que le prévenu repeignait très souvent les murs (cf. jgt, pp. 36-37); – l'aisance avec laquelle le prévenu avait pu disposer de plusieurs semaines prises sur son temps de travail présumé pour s'occuper à plein temps d'un club de billard ou la facilité, rapportée par témoignage indirect, qu'il avait à s'entraîner au tir à l'arc le matin (PV aud. 2, p. 2). La conviction des premiers juges ne peut qu'être partagée. Non seulement celle-ci repose sur plusieurs preuves qui se recoupent, soit des déclarations du prévenu, des témoignages et des indices ressortant de faits admis, mais surtout la maintenance des deux locaux de garderie et de leur équipement n'apparaît objectivement pas à même d'occuper à plein temps un « homme à tout faire ». Ainsi, l'activité du prévenu, qui a expliqué lors des débats de première instance être resté « disponible par téléphone » (cf. jgt, p. 17), consistait plutôt à demeurer de piquet, alors même qu'un service de piquet n'était pas nécessaire, et d'intervenir à la demande pour effectuer quelques légères interventions. Comme déjà indiqué, l 'appelant conteste la réalisation de la condition de l'astuce , les premiers juges ont retenu que la composante astucieuse de la tromperie tiendrait à la constitution d'un emploi d'« homme à tout faire », par essence complexe à contrôler, l'E.________ ne disposant d'aucun moyen concret de vérifier sur la base des documents comptables produits la réalité et la nature des tâches accomplies par l'employé (cf. jgt, p. 48). A cet égard, il ressort du dossier que le statut d'« homme à tout faire » a été prévu contractuellement lors de l'engagement de l'appelant par l'Y.________ en 2008, lorsque cette dernière ne percevait pas de subventions, et non en vue de percevoir celles-ci. Le contrat de travail du 30 septembre 2008 (P. 101/1) précise que le prévenu est engagé en qualité d'« employé polyvalent », avec une entrée en service le 1 er octobre 2008. Lors de l'enquête, puis à nouveau lors des débats d'appel, B.H.________ a déclaré avoir été interrogé sujet de son activité, sauf erreur en 2011, par C.________, [...], soit l'une des communes constituant le réseau de l'E.________. Le prévenu aurait alors proposé à ce dernier de le suivre pendant une semaine, proposition à laquelle le chef de service n'aurait toutefois pas donné suite (PV aud. 26, R. à D. 17). De son côté, entendu en qualité de témoin par les enquêteurs, C.________ a confirmé avoir considéré l'emploi du prévenu comme « suspect », dès lors qu'il lui avait été rapporté que l'employé n'était vu qu'épisodiquement sur son lieu de travail. Le témoin a encore précisé avoir posé différentes questions, notamment aux employés des garderies, lesquels lui aurait répondu que le prévenu « ne faisait rien, ou pas grand chose ». Il a en outre fourni aux enquêteurs le contrat de travail du prévenu ainsi que les fiches de salaire versé du 1 er octobre 2008 au 31 juillet 2013 (PV aud. 21, R. à D. 10). Il ressort ainsi tant des déclarations du prévenu que du témoin précité qu'un doute est apparu, non pas quant à l'existence de l'emploi litigieux, mais quant au taux d'activité réellement exercé par l'employé. S'il faut admettre que le prévenu a donné de fausses informations quant à l'ampleur de son activité à l'E.________, des témoignages rendant suspect cet emploi avaient été recueillis, que C.________ a manifestement pris au sérieux. Aucune vérification n'a toutefois été entreprise par la plaignante, qu'il aurait pourtant été aisé de mettre en œuvre. En particulier, aucune explication n'a été demandée au prévenu en vue de mesurer l'ampleur réelle de son activité et, le cas échéant, lever ou confirmer les soupçons apparus. Si la proposition du prévenu de passer une semaine en sa compagnie n'était pas réaliste compte tenu de la charge de travail d'un chef de service, on ne peut en conclure qu'il soit parvenu de cette manière à dissuader l'E.________ de procéder aux vérifications utiles. En effet, il aurait pu être requis du prévenu, qui a prétendu réaliser un certain nombre de travaux d'entretien et de rénovation des locaux, de décrire la nature exacte de ses interventions en indiquant le temps consacré. Le prévenu a aussi prétendu s'occuper ponctuellement d'enfants. Il aurait pu lui être demandé un relevé journalier de ses interventions. L'effectivité de ses allégations aurait pu ainsi être vérifiée aisément. En définitive, s'iI n'y a pas lieu d'admettre qu'il existe un doute quant à l'existence d'une tromperie et d'un dessein d'enrichissement, le prévenu ayant à cet égard perçu un salaire pour une activité à 100% en n'offrant que très partiellement la contreprestation attendue, la tromperie n'est toutefois pas astucieuse. L a plaignante avait saisi l'insuffisance des prestations de travail du prévenu ou du moins éprouvait des doutes à ce sujet. Or elle n'a pris aucune mesure de contrôle, alors que des vérifications s'imposaient d'autant plus que le bon fonctionnement des structures d'accueil ne justifiait à l'évidence pas le plein exercice de l'activité en question. L'appelant doit ainsi être libéré de l'infraction d'escroquerie en lien avec le chiffre</w:t>
      </w:r>
    </w:p>
    <w:p>
      <w:r>
        <w:rPr>
          <w:b/>
        </w:rPr>
        <w:t>E. 3.4.1</w:t>
      </w:r>
    </w:p>
    <w:p>
      <w:r>
        <w:t>C.H.________, qui n'a pas fait appel, a également été condamnée pour escroquerie en lien avec le chiffre 5 de l'acte d'accusation (jgt, p. 48 let. c).</w:t>
      </w:r>
    </w:p>
    <w:p>
      <w:r>
        <w:rPr>
          <w:b/>
        </w:rPr>
        <w:t>E. 3.4.2</w:t>
      </w:r>
    </w:p>
    <w:p>
      <w:r>
        <w:t>Aux termes de l'art. 392 al. 1 CPP lorsque, dans une même procédure, un recours a été interjeté par certains des prévenus ou des condamnés seulement et qu'il a été admis, la décision attaquée est annulée ou modifiée également en faveur de ceux qui n'ont pas interjeté recours à deux conditions cumulatives: l'autorité de recours juge différemment les faits (let. a) et les considérants valent également pour les autres personnes impliquées (let. b). L'art. 392 al. 2 CPP impose à l'autorité de recours, avant de rendre sa décision, d'entendre s'il y a lieu les prévenus ou les condamnés qui n'ont pas interjeté recours, le ministère public et la partie plaignante. Cette disposition est impérative (TF 66_800/2013 consid. 5.2 du 12 juin 2014; Dupuis et al. [éd.], Petit Commentaire du Code pénal , 2 e éd., Bâle 2017, n°</w:t>
      </w:r>
    </w:p>
    <w:p>
      <w:r>
        <w:rPr>
          <w:b/>
        </w:rPr>
        <w:t>E. 3.4.3</w:t>
      </w:r>
    </w:p>
    <w:p>
      <w:r>
        <w:t>C.H.________ a été citée, puis entendue à l'audience d'appel. B.H.________ étant libéré de l'infraction d'escroquerie en lien avec les faits décrits au chiffre 5 de l'acte d'accusation, il s'impose également de libérer la prévenue de la condamnation d'escroquerie dans ce cas et, par conséquent, de réduire d'office sa peine privative de liberté, de 24 à 18 mois, les frais étant laissés à la charge de l'Etat. II. Appel de B.H.________ et appel joint du Ministère public sur les cas 1 à 4 de l'acte d'accusation 4. 4.1 L'appelant conteste sa condamnation pour complicité d'abus de confiance et complicité d'escroquerie en raison des faits visés par les chiffres 1 à 4 de l'acte d'accusation du 20 juin 2017 (cf. En Fait, consid. 2.2.1 à 2.2.4 supra ; jgt, pp. 32 à 34). Il soutient que C.H.________ aurait agi seule, et qu'en tant qu' « homme à tout faire », il n'aurait pas été au courant de l'activité de cette dernière, qui était la patronne des garderies. Selon lui, l'intention de prêter assistance à la commission d'une infraction n'aurait pas été démontrée. Enfin, il allègue que son couple aurait toujours eu des comptes séparés et que lui-même n'aurait pas connu la situation financière de son épouse. De son côté, l'appelant par voie de jonction reproche aux premiers juges d'avoir retenu que B.H.________ n'a eu qu'un rôle de complice dans les cas 1 à 4 de l'acte d'accusation. Il soutient que le prévenu devrait être condamné pour son rôle de coauteur tantôt par commission, notamment pour avoir signé la convention de subventionnement avec l'E.________ en sa qualité de président de l'Y.________, tantôt par omission, pour être resté passif alors que sa fonction de président lui imposait de prendre des mesures à l'égard de C.H.________. 4.2 4.2.1 Aux termes de l'art. 138 ch. 1 al. 2 CP, se rend coupable d'abus de confiance notamment celui qui, sans droit, aura employé à son profit ou au profit d'un tiers des valeurs patrimoniales qui lui avaient été confiées. Sur le plan objectif, cette infraction suppose que l'on soit en présence d'une valeur confiée, ce qui signifie que l'auteur doit en avoir la possession en vertu d'un accord ou d'un autre rapport juridique qui implique qu'il n'en a pas la disposition et ne peut se l'approprier, mais doit en faire un usage déterminé dans l’intérêt du lésé ou d’un tiers (Corboz, Les infractions en droit suisse, vol. I, 3 e éd., Berne 2010, n. 4 ad art. 138 CP; ATF 133 IV 21 consid. 6.2 ; TF 6B_1043/2013 du 4 juillet 2014 consid. 3.1.1). Lorsque l’auteur reçoit une valeur pour lui-même et non dans l’optique d’en conserver la contre-valeur pour le compte d’autrui, il ne saurait être question d’une valeur patrimoniale confiée. Tel est par exemple le cas des contre-prestations correspondant à la prestation contractuellement promise et qui n’impliquent pas en elles-mêmes un devoir de conserver la contre-valeur reçue (ATF 133 IV 21 consid. 7; Dupuis et al. [éd.], op. cit., n. 31 ad art. 138 CP). Il y a emploi illicite d'une valeur patrimoniale confiée lorsque l'auteur l'utilise contrairement aux instructions reçues, en s'écartant de la destination fixée. L'art. 138 ch. 1 al. 2 CP ne protège pas la propriété, mais le droit de celui qui a confié la valeur patrimoniale à ce que celle-ci soit utilisée dans le but qu'il a assigné et conformément aux instructions qu'il a données (ATF 129 IV 257 consid. 2.2.1 et les références citées; TF 6B_1043/2013 précité consid. 3.1.1). L’employeur qui utilise sans droit la part de salaire qu’une loi sociale lui impose de prélever ne dispose pas d’un bien qui lui est confié selon la définition de l’infraction d’abus de confiance (ATF 106 IV 355 consid. 3b, JdT 1982 IV 108). Du point de vue subjectif, l'auteur doit avoir agi intentionnellement et, même si le texte légal ne le précise pas expressément,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118 IV 32 consid. 2a; TF 6B_1043/2013 précité consid. 3.1.1). 4.2.2 Les éléments à prendre en considération relativement à l'infraction d'escroquerie ont déjà été rappelés ci-dessus (cf. consid. 3.2.2). 4.2.3 4.2.3.1 Agit intentionnellement quiconque commet un crime ou un délit avec conscience et volonté (art. 12 CP). La conscience et la volonté doivent porter sur l’ensemble des éléments constitutifs objectifs de l’infraction. L’auteur doit agir en se représentant, donc en acceptant, une situation dans laquelle ces éléments sont réalisés (ATF 122 IV 246, consid. 3a; Dupuis et al. [éd.], op. cit., n. 4 ad art.</w:t>
      </w:r>
    </w:p>
    <w:p>
      <w:r>
        <w:rPr>
          <w:b/>
        </w:rPr>
        <w:t>E. 5</w:t>
      </w:r>
    </w:p>
    <w:p>
      <w:r>
        <w:t>de l'acte d'accusation du 20 juin 2017. Le jugement sera réformé sur ce point.</w:t>
      </w:r>
    </w:p>
    <w:p>
      <w:r>
        <w:rPr>
          <w:b/>
        </w:rPr>
        <w:t>E. 5.1</w:t>
      </w:r>
    </w:p>
    <w:p>
      <w:r>
        <w:t>L'appelant par voie de jonction conteste la quotité de la peine infligée à B.H.________, qu'il estime trop clémente. Le simple fait d'avoir retenu à charge du prévenu une culpabilité importante aurait dû conduire les premiers juges au prononcé d'une peine se situant à l'intérieur du cadre théorique fixé par la loi, qui serait, dans le cas d'espèce, compris entre sept ans et demi de peine privative de liberté et un jour de peine pécuniaire (art. 146 al. 1 CP, en concours avec d'autre crimes). En outre, compte tenu de son rôle de coauteur et non de complice, le prévenu ne saurait être condamné à une peine inférieure à celle prononcée à l'encontre de C.H.________.</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5.2.3</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 Asperationsprinzip ) est applicable si l'auteur remplit les conditions de plusieurs peines de même genre (ATF 142 IV 265 consid. 2.3.2; ATF 137 IV 57 consid. 4.3.1), ce qui, comme déjà relevé, est le cas en l’espèce.</w:t>
      </w:r>
    </w:p>
    <w:p>
      <w:r>
        <w:rPr>
          <w:b/>
        </w:rPr>
        <w:t>E. 5.2.4</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privative de liberté d'un an au moins et de trois ans au plus afin de tenir compte de façon appropriée de la faute de l'auteur.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p. 10).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le sursis reste la règle, et le sursis partiel l'exception (Cuendet/Genton, La fixation de la peine et le sursis à l'aune du nouveau droit des sanctions, in : Forumpoenale 5/2017 p. 328; CAPE 8 février 2018/32 consid. 5.2.1 in fine).</w:t>
      </w:r>
    </w:p>
    <w:p>
      <w:r>
        <w:rPr>
          <w:b/>
        </w:rPr>
        <w:t>E. 5.3</w:t>
      </w:r>
    </w:p>
    <w:p>
      <w:r>
        <w:t>En l'espèce, il faut constater avec les premiers juges que la culpabilité de B.H.________ est importante. A charge, il faut retenir les montants importants détournés au préjudice de la plaignante, qui ont permis au couple de mener pendant plusieurs années le train de vie qu'il voulait sans en avoir les moyens licites. En outre, l'attitude du prévenu, pour qui la responsabilité incombe toujours à quelqu'un d'autre, comme l'ont retenu les premiers juges, est blâmable. Sa prise de conscience est nulle. Dès lors, les remords sont inexistants. Si l'appelant est libéré de l'infraction d'escroquerie en lien avec le chiffre 5 de l'acte d'accusation du 20 juin 2017, circonstance susceptible de donner lieu à une réduction de la quotité de la sanction, il est toutefois condamné en tant qu'auteur d'abus de confiance et d'escroquerie en raison des faits visés par les cas 1 à 4 de l'acte d'accusation (cf. En Fait, consid. 2.2.1 à 2.2.4 supra ) et plus seulement complice, ce qui aggrave sa culpabilité. Tout bien pesé, la peine privative de liberté de 18 mois demeure, aux yeux de la Cour de céans, adéquate pour réprimer les infractions en cause. Une même peine sanctionne d'ailleurs le comportement de C.H.________. L’appel joint du Ministère public doit donc être rejeté sur ce point. Ni l'octroi du sursis, ni la durée du délai d'épreuve n'ont été contestés. L'exécution de la peine privative de liberté demeurera donc suspendue avec un délai d'épreuve de 4 ans. 6. En définitive, l’appel de B.H.________ et l'appel joint du Ministère public doivent être partiellement admis et le jugement entrepris réformé dans le sens des considérants qui précèdent. IV. Frais et indemnités 7. 7.1 Vu l'issue de l'appel, la demande d'indemnité au sens de l'art. 429 CPP de B.H.________, qui voit sa condamnation, et en particulier la sanction prononcée, toutes deux confirmées, sera rejetée. 7.2 Me Pierre Charpié, conseil d’office de B.H.________ a produit une liste des opérations (P. 103) faisant état de 20.1 heures d’activité, hors audience d'appel, d’une vacation, par 120 fr. et de débours forfaitaires par 60 francs. Une telle durée excède légèrement le temps nécessaire à la défense des intérêts de son client, compte tenu notamment de la connaissance du dossier acquise par l'avocat en première instance. En particulier, le temps consacré aux conférences avec le client (2.4 heures annoncées) sera réduit d'une heure; le temps consacré aux messages, téléphones et échanges de courriels (2.9 heures annoncées) sera également réduit d'une heure; enfin, le temps consacré aux recherches juridiques et étude du dossier (4.5 heures annoncées), sera réduit de 2 heures. L’indemnité du défenseur d’office sera ainsi arrêtée sur la base d’une durée raisonnable d’activité d’avocat de 18 heures, dont deux heures pour l'audience d'appel, au tarif horaire de 180 fr., soit à 3’240 fr., plus des débours forfaitaires par 50 fr., plus une vacation à 120 fr., plus la TVA par 262 fr. 60 , ce qui représente un montant total de 3’672 fr. 60. Me Pierre H. Blanc, conseil d’office de C.H.________ a produit une liste des opérations (P. 102) faisant état de 0.45 heures d’activité jusqu'au 31 décembre 2017, et de 5.65 heures d’activité en 2018, hors audience d'appel, d’une vacation, par 120 fr. et de débours par 18 francs, plus la TV au taux indiqué de 7.7%. Une telle durée excède légèrement le temps nécessaire à la défense des intérêts de sa cliente. En particulier, le temps consacré à l'examen des annonces d'appel et au courriel à la cliente en 2017 (0.45 heure annoncée) sera réduit de 0.25 heure; le temps consacré à l'examen d'un envoi de la Cour de céans (7 mars 2018) et à deux courriers adressés ladite cour (7 mars et 3 avril 2018) (1.15 heures annoncées) sera réduit de 0.45 heure; enfin, il n'y a pas lieu de compter une vacation, l'avocat ayant renoncé à accompagner sa cliente aux débats d'appel. L’indemnité du défenseur d’office sera ainsi arrêtée sur la base d’une durée raisonnable de 5.4 heures d'activité, au tarif horaire de 180 fr., soit à 972 fr., plus des débours par 18 fr., plus la TVA par 76 fr. 20, ce qui représente un montant total de 1'066 fr. 20. 7.3 Vu l’issue de la cause, les frais de la procédure d’appel, par 8'518 fr. 80, comprennent en l’espèce l’émolument du présent jugement, par 3'780 fr. (art. 21 al. 1 et 2 TFIP [Tarif des frais de procédure et indemnités en matière pénale du 28 septembre 2010; RSV 312.03.1]), et les indemnités de défenseur d’office allouées à Me Pierre Charpié, par 3’672 fr. 60, et à Me Pierre H. Blanc, par 1'066 fr. 20, seront mis par deux tiers à la charge de B.H.________, qui succombe partiellement (art. 428 al. 2 CPP), le solde des frais de procédure étant laissé à la charge de l’Etat. B.H.________ ne sera tenu de rembourser à l’Etat les deux tiers de l’indemnité en faveur de son défenseur d’office que lorsque sa situation financière le permettra (art. 135 al. 4 CPP).</w:t>
      </w:r>
    </w:p>
    <w:p>
      <w:r>
        <w:rPr>
          <w:b/>
        </w:rPr>
        <w:t>E. 8</w:t>
      </w:r>
    </w:p>
    <w:p>
      <w:r>
        <w:t>ad art. 392 CPP).</w:t>
      </w:r>
    </w:p>
    <w:p>
      <w:r>
        <w:rPr>
          <w:b/>
        </w:rPr>
        <w:t>E. 12</w:t>
      </w:r>
    </w:p>
    <w:p>
      <w:r>
        <w:t>CP). Les éléments constitutifs de l'escroquerie et de l'abus de confiance ont été rappelés ci-dessus (cf. consid. 3.2.2 et 4.2.1 supra ). 4.2.3.2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(TF 6B_591/2013 du 22 octobre 2014 consid. 5.1.2 et la référence citée à l’ATF 132 IV 49 consid. 1.1). L'assistance prêtée par le complice peut être matérielle, intellectuelle ou consister en une simple abstention. La complicité par omission suppose toutefois une obligation juridique d'agir, autrement dit une position de garant (TF 6B_591/2013 précité consid.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et 6B_700/2012 du 8 mars 2013 consid. 7.1 et les références citées). Subjectivement, il faut que le complice sache ou se rende compte qu'il apporte son concours à un acte délictueux déterminé et qu'il le veuille ou l'accepte. A cet égard, il suffit qu'il connaisse les principaux traits de l'activité délictueuse de l'auteur, lequel doit donc avoir pris la décision de l'acte. Le dol éventuel suffit (TF 6B_591/2013 précité consid. 5.1.2). 4.2.3.3 Par opposition au complice, qui prête intentionnellement assistance à l'auteur pour commettre un crime ou un délit par une participation accessoire,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 4.3 S'agissant du cas 1 de l'acte d'accusation, qui concerne l'accueil d'enfants « hors réseau » et la facturation directe de leur garde par 128'159 fr. 30, les premiers juges ont condamné C.H.________ pour escroquerie au détriment de l'E.________ (jgt, p. 48) et B.H.________ pour complicité d'escroquerie (jgt, p. 49). Les faits ont été admis par C.H.________ (jgt, p. 32, 33, 39, 40 in fine, 41, 42, 44), en revanche, comme déjà indiqué plus haut, B.H.________ a nié avoir été au courant des agissements de son épouse (jgt, p. 44). A juste titre, le Tribunal correctionnel (cf. jgt, p. 44 et 45) a écarté les dénégations de l'appelant en retenant qu'il avait des contacts avec les enfants et qu'il était peu probable, dès lors qu'il avait signé la convention de subventionnement, qu'il n'ait pas su que certains d'eux ne remplissaient pas les critères, notamment celui du domicile, pour être admis par la garderie selon les règles de l'E.________, alors que d'autres collaborateurs, même occasionnels comme [...] (cf. PV aud. 3) qui avait passé trois semaines dans la garderie, l'avaient très rapidement réalisé. Pour les premiers juge, la complicité du prévenu a consisté à ne pas révéler à l'E.________, comme président de l'association subventionnée et signataire de l'accord de subventionnement, la présence de ces enfants dont la garde rémunérée s'effectuait à l'insu de l'organisme de subventionnement, lui-même en profitant sur le plan financier, ne serait-ce qu'indirectement. En ce qui concerne les faits, la conviction des premiers juges doit être partagée. Au vu de sa proximité avec la directrice de la garderie qui était son épouse, tous deux étant au demeurant exposés à des difficultés financières similaires, et des contacts noués avec les autres membres du personnel ainsi qu'avec les enfants et leurs parents, ainsi que sa connaissance précise des règles fixées par l'E.________, l'appelant avait forcément réalisé la présence des enfants hors réseau, un domicile hors du réseau intercommunal suffisant à cet égard. En revanche, pour la Cour de céans, il faut retenir que le fait pour l'appelant de signer, le 10 décembre 2010, comme président de l'Y.________, soit l'association subventionnée, un accord de subventionnement avec l'E.________, dont la portée rétroagissait au 1 er septembre 2009, tout en dissimulant la présence de ces enfants « hors réseau » à l'organisme de subventionnement, constitue une action à proprement parler. L'appelant est donc l'auteur d'une escroquerie, et non simplement un complice. Sous la présidence de l'appelant, l'Y.________ a en outre continué à accueillir, postérieurement à la signature de l'accord de subventionnement précité des enfants « hors réseau », en continuant ainsi à facturer directement aux parents les prestations y relatives à l'insu de l'E.________. Il s'agit là encore d'un comportement positif, qui peut être reproché en propre à l'appelant en tant que président de l'association subventionnée. Celui-ci a ainsi collaboré, intentionnellement et de manière déterminante, avec son épouse à la décision de commettre une escroquerie, à son organisation et à son exécution, au point d'apparaître comme l'un des participants principaux. Sur ce point, l'appel joint du Ministère public doit être admis et l'appel de B.H.________ rejeté. 4.4 S'agissant des faits visés par les chiffres 2 à 4 de l'acte d'accusation, soit le montant de 194'847 fr. 90 versé par l'E.________ pour couvrir des frais courants mais affecté au paiement de charges sociales en retard concernant la période antérieure à la signature du contrat de subventionnement, le montant de 13'375 fr. non restitué à la partie plaignante alors qu'il s'agissait d'un trop-perçu de subventions pour l'année 2012 et le montant de 18'634 fr. 39 constituant un solde comptable au 28 février 2013 non restitué à la partie plaignante l'échéance de la convention de subventionnement, les premiers juges ont condamné C.H.________ pour abus de confiance et l'appelant pour complicité d'abus de confiance (cf. jgt, p. 49). Le Tribunal correctionnel a retenu que le rôle de l'appelant dans ces faits avait été essentiellement passif, précisant qu'il ne ressortait pas du dossier qu'il aurait effectué des démarches complémentaires et actives pour que les détournements de C.H.________ aient eu lieu (jgt, p. 46). Or pour la Cour de céans, il faut plutôt retenir que B.H.________ a adopté un comportement actif, en coaction avec son épouse. Pour sa défense, comme vu plus haut, l'appelant soutient qu'il se serait désintéressé de la marche financière des garderies et qu'il aurait fait confiance à son épouse, ainsi qu'à la fiduciaire de l'AVC. Il n'aurait dès lors rien su des détournements litigieux. Il ressort toutefois de ses propres déclarations, tant lors des débats de première instance (cf. jgt, p. 11) que des débats d'appel (cf. procès-verbal, p. 4), qu'il a conseillé son épouse de passer d'une garderie privée à une structure communale subventionnée, de manière notamment à assurer la présence d'enfants, donc une certaine sécurité financière. A cet égard, il a admis qu'il ne lui avait pas échappé que les subventions perçues étaient assorties de conditions et de règles, notamment dans la gestion de l'accueil des enfants (cf. jgt, p. 4). Il a en outre admis qu'il connaissait le fonctionnement financier de l'E.________ (PV aud. 2, R. à D. 14; PV aud. 28, l. 45 à 51). Pour la Cour de céans, les déclarations du prévenu selon lesquelles il n'aurait pas eu accès aux comptes de l'association qu'il présidait, ni à ceux de son épouse, notamment bancaires et postaux, sont totalement dénuées de crédibilité, au vu notamment des contradictions qui ont émaillé ses propos lors de l'instruction. Il a en effet lui-même indiqué que les comptes lui avaient été présentés par la fiduciaire lors d'une assemblée générale (PV aud. 26, R. à D. 11). De surcroît, comme l'ont retenu les premiers juges (cf. jgt, p. 45), il a déclaré qu'il lui arrivait d'amener des pièces comptables à la fiduciaire, qui était l'un de ses amis d'enfance. Surtout, le prévenu a expliqué, lors des débats d'appel, qu'il faisait les déclarations d'impôt du couple et a admis, par conséquent, avoir eu accès aux documents bancaires de son épouse (cf. procès-verbal, p. 5). Enfin, il a contesté avoir fait usage de comptes joints avec cette dernière alors qu'il a admis posséder le compte postal n° [...] en co-titularité avec elle (cf. PV aud. 28, l. 85, 97). Il ne saurait ainsi convaincre lorsqu'il affirme n'avoir rien su de l'usage contraire aux conditions et règles de l'E.________ par son épouse des subventions versées aux garderies de l'Y.________. Ainsi, comme l'ont retenu les premiers juges, B.H.________ était partie prenante du système. A nouveau, il faut souligner que l'intéressé n'était pas qu'un simple employé de garderie, mais bien le président de l'association subventionnée. Il ne pouvait ignorer que son épouse utilisait l'argent des subventions à d'autres fins que celles prévues par les conditions et règles de l'E.________, ne serait-ce que par le financement de son emploi, de voyages à l'étranger ou d'assainissement de dettes (cf. jgt, p. 45): il s'est ainsi pleinement associé aux appropriations illicites. Ce n'est donc pas comme complice, mais bien comme auteur d'un abus de confiance commis au préjudice de l'E.________ que l'appelant doit être condamné en lien avec les chiffres 2 à 4 de l'acte d'accusation. Sur ce point, l'appel joint du Ministère public doit être admis et l'appel de B.H.________ rejeté. III. Appel joint du Ministère public sur la peine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