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300 vom 29. August 2018</w:t>
      </w:r>
    </w:p>
    <w:p>
      <w:r>
        <w:t>VD Tribunal cantonal, 2018-08-29, FR</w:t>
      </w:r>
    </w:p>
    <w:p>
      <w:r>
        <w:rPr>
          <w:b/>
        </w:rPr>
        <w:t xml:space="preserve">Quelle: </w:t>
      </w:r>
      <w:r>
        <w:t>https://mcp.opencaselaw.ch/entscheid/vd_findinfo_Jug___2018___300</w:t>
      </w:r>
    </w:p>
    <w:p>
      <w:r>
        <w:t>FR: VD_FINDINFO Jug / 2018 / 300 du 29 août 2018</w:t>
      </w:r>
    </w:p>
    <w:p>
      <w:r>
        <w:t>IT: VD_FINDINFO Jug / 2018 / 300 del 29 agosto 2018</w:t>
      </w:r>
    </w:p>
    <w:p>
      <w:pPr>
        <w:pStyle w:val="Heading2"/>
      </w:pPr>
      <w:r>
        <w:t>Regeste</w:t>
      </w:r>
    </w:p>
    <w:p>
      <w:r>
        <w:t>INDEMNITÉ ÉQUITABLE, DÉFENSE D'OFFICE | 135 CPP (CH)</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ordonné par l’autorité judiciaire fédérale. Conformément aux réquisits de l’ordonnance du 8 août 2018, l’autorité de céans est tenue de motiver sa décision, soit de compléter sa motivation tenue pour insuffisante quant à l’indemnité allouée à Me G.________, défenseur d’office de V.________, pour la procédure d’appel.</w:t>
      </w:r>
    </w:p>
    <w:p>
      <w:r>
        <w:rPr>
          <w:b/>
        </w:rPr>
        <w:t>E. 2.1</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5e éd., Bâle 2011, n. 39 as art. 394 CO ; cf. également les décisions du Tribunal pénal fédéral BB.2016.185 du 19 octobre 2016 consid. 3.2 et BB.2013.70 du 10 septembre 2013 consid. 3).</w:t>
      </w:r>
    </w:p>
    <w:p>
      <w:r>
        <w:rPr>
          <w:b/>
        </w:rPr>
        <w:t>E. 2.2</w:t>
      </w:r>
    </w:p>
    <w:p>
      <w:r>
        <w:t>La liste d'opérations déposée par Me G.________ le 25 juin 2018 pour la procédure d’appel fait état de 22h04 consacrées au dossier par un avocat-stagiaire (Me W.________), de 4h20 consacrées au dossier par un avocat breveté (Me T.________) et d’une vacation de l’avocat-stagiaire. Elle comporte notamment les postes suivants: 26.02.2018 :              rédaction d’appel, W.________: 5h05 27.02.2018 : rédaction d’appel et recherches juridiques, W.________ : 9h00 28.02.2018 : relecture et correction de la déclaration d’appel, T.________ : 1h00 05.03.2018 : corrections appel, W.________: 1h00 05.03.2018 : relecture et correction de la déclaration d’appel, T.________ : 2h00 07.03.2018 : relecture et correction de la déclaration d’appel, T.________ : 1h00 Il résulte de ce qui précède que l’avocat-stagiaire a consacré un total de 15h05 pour le poste « rédaction appel, recherches juridiques et corrections » et l’avocat breveté un total de 4h00 pour le poste « relecture et correction ».</w:t>
      </w:r>
    </w:p>
    <w:p>
      <w:r>
        <w:rPr>
          <w:b/>
        </w:rPr>
        <w:t>E. 2.3</w:t>
      </w:r>
    </w:p>
    <w:p>
      <w:r>
        <w:t>L’argumentation de l’appel consistait à soutenir la même thèse qu’aux débats de première instance et de critiquer tout ce qui ne lui correspondait pas. Concrètement, il s’agissait de contester l'appréciation des preuves sur de petits détails factuels, l'intention de l'auteur et les conclusions de l'expertise psychiatrique. On notera que le Tribunal correctionnel a suivi les conclusions des experts, position à laquelle les défenseurs devaient déjà être préparés. De même, le prévenu étant accusé de tentative de meurtre, les avocats avaient forcément déjà fait des recherches juridiques à ce sujet. Or, en première instance, V.________ était assisté tant de l’avocat T.________ que de l’avocat-stagiaire W.________, qui ont tous deux plaidé, Me G.________, défenseur d'office, ayant obtenu une indemnité de 6'931 francs pour leur travail. Ainsi, ce sont les mêmes mandataires qui ont effectué le travail en deuxième instance. Ils connaissaient donc bien le dossier et c'est à tort que le recourant prétend justifier les heures de correction de la déclaration d'appel par l'avocat breveté notamment par « le temps nécessaire afin d'acquérir une bonne connaissance du dossier ». Au demeurant, sa correction ne nécessitait pas qu'il aille jusqu'à « vérifier qu'aucun élément factuel important n'avait été oublié ». En effet, un contrôle aussi poussé du travail d’un stagiaire déjà juriste ne se justifiait pas, un certain degré de confiance devant être accordé à ce dernier. Quant au fait que le plaignant a chiffré pour la première fois ses conclusions aux débats de première instance, ce qui aurait constitué une « difficulté sur le plan juridique », on ne peut que constater que l'appel ne contient pas de développements juridiques poussés, mais uniquement la contestation factuelle, en l'espèce, du lien de causalité entre le comportement du prévenu et les prétentions de ce plaignant. Il s’agit là d’une question basique.</w:t>
      </w:r>
    </w:p>
    <w:p>
      <w:r>
        <w:rPr>
          <w:b/>
        </w:rPr>
        <w:t>E. 2.4</w:t>
      </w:r>
    </w:p>
    <w:p>
      <w:r>
        <w:t>Au regard des éléments précités, le temps consacré par l’avocat-stagiaire à la rédaction de l’appel, aux recherches juridiques et aux corrections, soit 15h05, est excessif. Il en va de même du temps consacré par l’avocat breveté à la relecture et à la correction de la déclaration d’appel, soit 4h00. On peut admettre une durée totale de 8h00 d’activité d’avocat-stagiaire pour les postes rédaction appel, recherches juridiques et corrections, ainsi qu’une durée totale de 1h00 d’activité d’avocat breveté pour les postes relecture et correction de la déclaration d’appel.</w:t>
      </w:r>
    </w:p>
    <w:p>
      <w:r>
        <w:rPr>
          <w:b/>
        </w:rPr>
        <w:t>E. 3</w:t>
      </w:r>
    </w:p>
    <w:p>
      <w:r>
        <w:t>En conclusion, la Cour d'appel pénale maintient son appréciation du montant convenable de l'indemnité à servir à Me G.________ pour son activité de défenseur d'office de V.________ dans le cadre de la procédure d'appel. Ce montant demeure donc fixé à 2'119 fr. 70, débours et TVA inclus, correspondant à 14h59 d’activité d’avocat-stagiaire, plus 1h20 d’activité d’avocat breveté, plus une vacation à 80 fr., plus 7,7% de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