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288 vom 25. April 2018</w:t>
      </w:r>
    </w:p>
    <w:p>
      <w:r>
        <w:t>VD Tribunal cantonal, 2018-04-25, FR</w:t>
      </w:r>
    </w:p>
    <w:p>
      <w:r>
        <w:rPr>
          <w:b/>
        </w:rPr>
        <w:t xml:space="preserve">Quelle: </w:t>
      </w:r>
      <w:r>
        <w:t>https://mcp.opencaselaw.ch/entscheid/vd_findinfo_Jug___2018___288</w:t>
      </w:r>
    </w:p>
    <w:p>
      <w:r>
        <w:t>FR: VD_FINDINFO Jug / 2018 / 288 du 25 avril 2018</w:t>
      </w:r>
    </w:p>
    <w:p>
      <w:r>
        <w:t>IT: VD_FINDINFO Jug / 2018 / 288 del 25 aprile 2018</w:t>
      </w:r>
    </w:p>
    <w:p>
      <w:pPr>
        <w:pStyle w:val="Heading2"/>
      </w:pPr>
      <w:r>
        <w:t>Regeste</w:t>
      </w:r>
    </w:p>
    <w:p>
      <w:r>
        <w:t>RESPONSABILITÉ RESTREINTE{DROIT PÉNAL}, SURSIS PARTIEL À L'EXÉCUTION DE LA PEINE, PEINE PRIVATIVE DE LIBERTÉ, DOMMAGES À LA PROPRIÉTÉ{DROIT PÉNAL}, VIOLATION DE DOMICILE, INCENDIE INTENTIONNEL, LOI FÉDÉRALE SUR LES STUPÉFIANTS ET LES SUBSTANCES PSYCHOTROPES | 144 al. 1 CP, 186 CP, 19 al. 2 CP, 221 al. 1 CP, 221 al. 2 CP, 43 CP, 48a CP, 49 al. 1 CP, 19a ch. 1 LStup</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sa condamnation pour incendie intentionnel qualifié relativement aux faits retenus au considérant 2.5 ci-dessus.</w:t>
      </w:r>
    </w:p>
    <w:p>
      <w:r>
        <w:rPr>
          <w:b/>
        </w:rPr>
        <w:t>E. 3.1.1</w:t>
      </w:r>
    </w:p>
    <w:p>
      <w:r>
        <w:t>Aux termes de l'art. 221 CP, celui qui, intentionnellement, aura causé un incendie et ainsi porté préjudice à autrui ou fait naître un danger collectif sera puni d'une peine privative de liberté d'un an au moins (al. 1). La peine sera une peine privative de liberté de trois ans au moins si le délinquant a sciemment mis en danger la vie ou l'intégrité corporelle des personnes (al. 2). Pour qu'il y ait incendie intentionnel aggravé au sens de l'art. 221 al. 2 CP, il faut, d'un point de vue objectif, que l'incendie mette en danger la vie ou l'intégrité corporelle des personnes et, d'un point de vue subjectif, que l'auteur agisse sciemment. La circonstance aggravante de l'art. 221 al. 2 CP suppose à tout le moins un dol direct, ce qui exclut le dol éventuel. Celui qui crée, avec conscience et volonté, une situation dont il résulte un danger qu'il connaît, veut nécessairement le danger, ce qui constitue un dol direct (ATF 123 IV 128 consid. 2a, JdT 1998 IV 136). Le dessein doit porter sur la création du danger, non pas sur la réalisation du risque. Si l'auteur a causé intentionnellement un incendie et qu'il a ainsi créé, avec conscience et volonté, une situation dont il savait qu'il en découlerait un danger pour la vie ou l'intégrité corporelle de personnes déterminées, il faut déduire de ces faits qu'il a voulu cette mise en danger et qu'il a ainsi sciemment mis en danger la vie ou l'intégrité corporelle des personnes (ATF 117 IV 285 consid. 2a ; TF 6S.417/2003 du 27 janvier 2004 consid. 2.2.1).</w:t>
      </w:r>
    </w:p>
    <w:p>
      <w:r>
        <w:rPr>
          <w:b/>
        </w:rPr>
        <w:t>E. 3.1.2</w:t>
      </w:r>
    </w:p>
    <w:p>
      <w:r>
        <w:t>II y a dol éventuel lorsque l'auteur envisage le résultat dommageable, mais agit néanmoins, même s'il ne le souhaite pas, parce qu'il s'en accommode pour le cas où il se produirait (ATF 131 IV 1 consid. 2.2).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Ces deux formes du dol ne se distinguent qu'en ce qui concerne ce que sait l'auteur, qui considère le résultat comme certain dans le second cas et comme hypothétique dans le premier, mais non sur le plan de la volonté (ATF 98 IV 65, consid. 4).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w:t>
      </w:r>
    </w:p>
    <w:p>
      <w:r>
        <w:rPr>
          <w:b/>
        </w:rPr>
        <w:t>E. 3.2</w:t>
      </w:r>
    </w:p>
    <w:p>
      <w:r>
        <w:t>L'appelant conteste la réalisation de l'élément subjectif de l'infraction d'incendie qualifié. Il relève que son acte devrait être examiné en lien, d'une part, avec ses troubles psychiatriques et, d'autre part, avec l'état physique et psychique dans lequel il se serait trouvé au moment des faits. Il explique que sa volonté de mettre fin à ses jours, ses troubles psychiatriques et son alcoolisation auraient causé un vide sur la réalité extérieure et notamment sur le fait que, par ses actes, il pouvait mettre en danger des gens. Dans leur rapport du 7 décembre 2017, les experts ont posé, chez l'appelant, le diagnostic de trouble mixte de la personnalité avec traits émotionnellement labiles de type impulsif et immature, une utilisation d'alcool nocive pour la santé ainsi qu'un syndrome de dépendance au cannabis actuellement abstinent en milieu protégé. Selon les psychiatres, l'appelant a les capacités cognitives nécessaires pour différencier ce qui est licite de ce qui ne l'est pas. Néanmoins, les ressources psychiques dont il disposait pour se déterminer d'après cette appréciation au moment des faits qui lui sont reprochés étaient partiellement altérées, d'une part par l'impulsivité importante et l'immaturité qu'implique son trouble de la personnalité, d'autre part par la désinhibition relative à son alcoolisation. Les spécialistes ont par conséquent retenu une diminution moyenne de la responsabilité de l’appelant pour les actes en question. Il convient certes de tenir compte des divers troubles de l'appelant tels que décrits ci-dessus. Il n'en demeure pas moins que ce dernier a les capacités cognitives nécessaires pour distinguer ce qui est licite de ce qui ne l'est pas. Or, en l'occurrence, il a mis le feu à des bottes de paille, lesquelles se trouvaient dans la partie rurale du bâtiment. La partie habitable était attenante à la partie rurale, ce qui était aisément reconnaissable par tout un chacun. Le prévenu a bouté le feu à 4 h. 20 du matin, soit à un moment où les gens dorment, ce qu'il ne pouvait ignorer. Par ailleurs, le 12 juin 2016, soit une semaine avant, vers 5 h. 30, il avait déjà incendié un rural en procédant de la même manière, soit en boutant le feu à des bottes de paille, au moyen d'un briquet. Dans le cadre de cet incendie, il a pu se rendre compte de l'ampleur du désastre. En effet, il a constaté que comme la paille était sèche, le feu se propageait rapidement. Par ailleurs, lorsqu'il a entendu des gens paniquer, il est allé leur dire de partir de la maison (cf. procès-verbaux n° 16, p. 4 et n° 21, pp. 3-4). En outre, il est retourné sur les lieux de l'incendie peu après et a donc nécessairement pu constater les dégâts, étant relevé que le rural et son contenu ont été entièrement détruits par les flammes. Enfin, dans le cadre de ses déclarations, l'appelant a également expliqué que, pour l'incendie du 12 juin 2016, il s'était rendu compte du risque, raison pour laquelle il était allé avertir des gens qui se trouvaient à l'intérieur de la maison et a indiqué que le fait d’avoir mis des personnes en danger l’avait passablement travaillé (cf. procès-verbal n° 22, p. 4). Au regard de ces éléments, la Cour de céans doit admettre, à l’instar des premiers juges, qu'en mettant la semaine suivante, dans les mêmes circonstances, le feu au rural de A.D.________, l'appelant a créé, avec conscience et volonté, une situation dont il savait qu'il en découlerait un danger pour la vie ou l'intégrité corporelle de personnes déterminées, soit celles habitant dans la partie attenante du rural, aucun élément ne permettant de conclure que l'habitation pouvait être vide. L'appelant avait les capacités cognitives suffisantes pour se rendre compte de la dangerosité de la situation. Partant, le grief doit être rejeté et la condamnation pour incendie intentionnel qualifié confirmée.</w:t>
      </w:r>
    </w:p>
    <w:p>
      <w:r>
        <w:rPr>
          <w:b/>
        </w:rPr>
        <w:t>E. 4</w:t>
      </w:r>
    </w:p>
    <w:p>
      <w:r>
        <w:t>L'appelant conteste la quotité de la partie ferme de la sanction qui lui a été infligée.</w:t>
      </w:r>
    </w:p>
    <w:p>
      <w:r>
        <w:rPr>
          <w:b/>
        </w:rPr>
        <w:t>E. 4.1</w:t>
      </w:r>
    </w:p>
    <w:p>
      <w:r>
        <w:t>Aux termes de l'art. 43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(TF 6B_713/2007 du 4 mars 2008 consid. 2.3).</w:t>
      </w:r>
    </w:p>
    <w:p>
      <w:r>
        <w:rPr>
          <w:b/>
        </w:rPr>
        <w:t>E. 4.2</w:t>
      </w:r>
    </w:p>
    <w:p>
      <w:r>
        <w:t>Les premiers juges ont arrêté à 18 mois la partie ferme de la peine infligée au prévenu, pour tenir compte de la gravité de sa faute et du caractère particulièrement blâmable de ses actes. Ils ont en outre estimé que les quelques mois que le prévenu devait encore purger lui permettraient de préparer sereinement sa sortie et de mettre en place les conditions au sursis ordonnées, contribuant ainsi à exercer un effet dissuasif sans hypothéquer ses perspectives de formation. L’appelant fait valoir qu’il aurait la possibilité de débuter une année de cours préparatoires pour une maturité professionnelle technique à [...] le 10 septembre 2018 et que l’exécution jusqu’à son terme de la partie ferme de sa peine l’empêcherait de suivre la formation telle qu’envisagée, étant précisé qu’elle se déroulerait à raison d’une demi-journée par semaine. L’art. 84 al. 6 CP prévoit que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L’art. 19 al. 1 let. f LEP (Loi sur l’exécution des condamnations pénales du 4 juillet 2006 ; RSV 340.01) précise pour sa part que l’Office d’exécution des peines (ci-après : OEP) est compétent pour accorder de telles sorties. En l’occurrence, l’appelant a déjà bénéficié de l’octroi de plusieurs congés depuis le début de son incarcération, dont une sortie de 11 heures en date du 29 juin 2018 pour « voir sa meilleure amie en ville (restaurant, magasins, plage) » et une sortie de 8 heures le 18 août suivant pour « voir une amie et passer l’après-midi en ville ». Ces congés lui ont été octroyés par l’OEP, notamment au vu de son bon comportement en détention. Ainsi, l’argument de l’appelant tombe à faux, dans la mesure où l’octroi de sorties pourrait lui permettre de débuter sa formation, quand bien même il exécuterait jusqu’à son terme la partie ferme de la peine telle que prononcée par les premiers juges. Pour le reste, il n’y a pas lieu de s’écarter du raisonnement des premiers juges, qui est clair, complet et convainquant. La Cour d’appel considère en effet que la peine privative de liberté prononcée par les premiers juges a été fixée en application des critères légaux à charge et à décharge et conformément à la culpabilité et à la situation personnelle de T.________. Il en va de même de la quotité de la partie ferme infligée au prévenu. Il peut être renvoyé à la motivation du jugement attaqué sur ces points (pp. 31-32 ; art. 82 al. 4 CPP). La peine privative de liberté de 36 mois assortie d’un sursis partiel de 18 mois doit dès lors être confirmée. Il est précisé que le nouveau droit des sanctions en vigueur dès le 1 er janvier 2018 n’est pas plus favorable dans le cas particulier, de sorte que l’ancien droit a été appliqué (art. 2 al. 2 CP).</w:t>
      </w:r>
    </w:p>
    <w:p>
      <w:r>
        <w:rPr>
          <w:b/>
        </w:rPr>
        <w:t>E. 5</w:t>
      </w:r>
    </w:p>
    <w:p>
      <w:r>
        <w:t>En définitive, l'appel de T.________ doit être rejeté et le jugement attaqué intégralement confirmé. La liste des opérations produite par Me Myriam Bitschy, défenseur d’office de T.________, fait état de 17 h. 05 d’activité d’avocat, dont 6 h. pour l’examen du dossier et la préparation de l’audience et 1 h. 30 pour le poste « courrier à client(e)», ainsi que de deux vacations et des débours à hauteur de 66 fr. 90. Dans la mesure où le défenseur d’office avait déjà acquis une parfaite connaissance du dossier en première instance, le temps allégué à l’examen du dossier et à la préparation de l’audience apparaît légèrement excessif. Il en va de même du temps consacré à des courriers à son client, qui ont pour l’essentiel consisté dans le suivi à celui-ci de courriers des autorités concernées. Le temps consacré à l’examen du dossier et à la préparation de l’audience doit ainsi être réduit à 4 h. et celui à l’envoi de courriers à son client à 30 minutes. Une seule vacation, pour l’audience d’appel, sera prise en compte et des débours à hauteur de 50 francs. Le temps effectif de l’audience d’appel, qui a duré 1 h., sera quant à lui ajouté. Il convient par conséquent de retenir 15 h. d’activité d’avocat au tarif horaire de 180 fr. et de fixer l’indemnité de défenseur d’office de Me Myriam Bitschy pour la procédure d’appel à 3'091 fr. (2'700 fr. [honoraires] + 120 fr. [vacation] + 50 fr. [débours] + 221 fr. [TVA]). Vu l'issue de la cause, les frais de la procédure d'appel, par 5’331 fr., constitués en l’espèce de l'émolument du présent arrêt, par 2’240 fr. (art. 21 al. 1 et 2 TFIP [Tarif des frais de procédure et indemnités en matière pénale du 28 septembre 2010 ; RSV 312.03.1]), et de l’indemnité allouée au défenseur d’office, seront mis à la charge de T.________, qui succombe (art. 428 al. 1 CPP). T.________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