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258 vom 9. Mai 2017</w:t>
      </w:r>
    </w:p>
    <w:p>
      <w:r>
        <w:t>VD Tribunal cantonal, 2017-05-09, FR</w:t>
      </w:r>
    </w:p>
    <w:p>
      <w:r>
        <w:rPr>
          <w:b/>
        </w:rPr>
        <w:t xml:space="preserve">Quelle: </w:t>
      </w:r>
      <w:r>
        <w:t>https://mcp.opencaselaw.ch/entscheid/vd_findinfo_Jug___2018___258</w:t>
      </w:r>
    </w:p>
    <w:p>
      <w:r>
        <w:t>FR: VD_FINDINFO Jug / 2018 / 258 du 9 mai 2017</w:t>
      </w:r>
    </w:p>
    <w:p>
      <w:r>
        <w:t>IT: VD_FINDINFO Jug / 2018 / 258 del 9 maggio 2017</w:t>
      </w:r>
    </w:p>
    <w:p>
      <w:pPr>
        <w:pStyle w:val="Heading2"/>
      </w:pPr>
      <w:r>
        <w:t>Regeste</w:t>
      </w:r>
    </w:p>
    <w:p>
      <w:r>
        <w:t>ABUS DE CONFIANCE, LÉSION CORPORELLE SIMPLE, DOMMAGE MATÉRIEL, VOL{DROIT PÉNAL}, CONDUITE MALGRÉ UNE INCAPACITÉ, IVRESSE, CONDUITE SANS AUTORISATION, INJURE, DOMMAGES À LA PROPRIÉTÉ{DROIT PÉNAL}, ATTÉNUATION DE LA PEINE, FIXATION DE LA PEINE, FIXATION DE L'AMENDE, PEINE PÉCUNIAIRE, FRAIS JUDICIAIRES, CONCOURS D'INFRACTIONS, PEINE COMPLÉMENTAIRE, EXPERTISE PRÉSENTÉE PAR UNE PARTIE, EXPERTISE PSYCHIATRIQUE, PEINE PRIVATIVE DE LIBERTÉ, RÉVOCATION DU SURSIS | 123 ch. 2 CP, 139 ch. 1 CP, 144 al. 1 CP, 172ter CP, 177 CP, 186 CP, 19 al. 2 CP, 286 CP, 30 CP, 34 CP, 40 CP, 41 CP, 42 al. 1 CP, 46 al. 1 CP, 47 CP, 10 CPP (CH), 182 CPP (CH), 189 CPP (CH), 389 CPP (CH), 426 al. 1 CPP (CH)</w:t>
      </w:r>
    </w:p>
    <w:p>
      <w:pPr>
        <w:pStyle w:val="Heading2"/>
      </w:pPr>
      <w:r>
        <w:t>Erwägungen</w:t>
      </w:r>
    </w:p>
    <w:p>
      <w:r>
        <w:rPr>
          <w:b/>
        </w:rPr>
        <w:t>E. 1</w:t>
      </w:r>
    </w:p>
    <w:p>
      <w:r>
        <w:t>CPP), l’appel d’M.________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2.1</w:t>
      </w:r>
    </w:p>
    <w:p>
      <w:r>
        <w:t>p. 19 ss).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ss; TF 6B_709/2013 du 27 janvier 2014 consid. 2).</w:t>
      </w:r>
    </w:p>
    <w:p>
      <w:r>
        <w:rPr>
          <w:b/>
        </w:rPr>
        <w:t>E. 3.1</w:t>
      </w:r>
    </w:p>
    <w:p>
      <w:r>
        <w:t>A l’audience d’appel, l’appelant a réitéré sa réquisition tendant à la mise en œuvre d’un complément d’expertise, afin que quatre questions complé­men­taires soient posées à l’expert. L’appelant reproche à l’expert de s’être écarté du diagnostic posé par le Dr E.________, psychiatre auprès duquel il bénéficie d’un suivi et fait valoir que le rapport médical de son médecin traitant remet en cause l’expertise.</w:t>
      </w:r>
    </w:p>
    <w:p>
      <w:r>
        <w:rPr>
          <w:b/>
        </w:rPr>
        <w:t>E. 3.2.1</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plusieurs experts divergent notablement dans leurs conclusions (let. b) ou l’exac­titude de l’expertise est mise en doute (let. c).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Kuhn/Jeanneret (éd.), Commentaire romand, Code de procédure pénale suisse, Bâle 2011, n. 19 ad art. 189 CPP).</w:t>
      </w:r>
    </w:p>
    <w:p>
      <w:r>
        <w:rPr>
          <w:b/>
        </w:rPr>
        <w:t>E. 3.2.3</w:t>
      </w:r>
    </w:p>
    <w:p>
      <w:r>
        <w:t>L’expertise est une mesure d’instruction nécessitant des connaissances spéciales ou des investigations complexes, confiée par le juge à un ou plusieurs spécialistes pour qu’il l’informe sur des questions de fait excédant sa compétence technique ou scientifique (Piquerez, Traité de procédure pénale suisse, 3 e éd., Genève/Zurich/Bâle 2011, n. 792, p. 499).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La nécessité d'une nouvelle ex­per­tise dépend ainsi d'une appréciation de celle versée au dossier et des autres éléments de preuves (TF 6B_79/2009 du 9 juillet 2009 consid. 3.1.2). Si l'expertise est incomplète ou peu claire, s'il existe des doutes quant à son exactitude ou si ses conclusions divergent notablement de celles d'autres expertises, la direction de la procédure doit compléter ou clarifier l'expertise ou désigner un nouvel expert (art. 189 CPP; cf. arrêt 6B_338/2016 du 9 décembre 2016 consid. 2.1). Une expertise privée ne constitue pas un moyen de preuve au sens des art. 139 ss CPP, de sorte qu’elle n'a pas la même portée qu'une expertise judiciaire. Les résultats issus d'une expertise privée réalisée sur mandat du prévenu sont soumis au principe de la libre appréciation des preuves et sont considérés comme des simples allégués de parties (ATF 141 IV 369 consid. 6; TF 6B_288/2017 du 19 janvier 2018 consid. 2.1; TF 6B_35/2017 du 26 février 2018 consid. 8.5; TF 6B_922/2015 du 27 mai 2016 consid. 2.5). Le juge peut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 6.2 p. 373).</w:t>
      </w:r>
    </w:p>
    <w:p>
      <w:r>
        <w:rPr>
          <w:b/>
        </w:rPr>
        <w:t>E. 3.3.1</w:t>
      </w:r>
    </w:p>
    <w:p>
      <w:r>
        <w:t>L’appelant reproche tout d’abord aux experts K.________ et T.________ d’avoir écarté le diagnostic de trouble bipolaire posé par le Dr E.________, au motif qu’ils n’ont pas retrouvé d’épisode maniaque franc ni d’épisode dépressif pouvant le justifier au sens de la CIM-10 alors qu’il se serait pourtant trouvé, au moment des faits, dans un état de dénuement et de laisser aller total, tant du point de vue matériel que psychologique, lequel pourrait s’apparenter à un épisode dépressif sévère. Fort de ce constat, l’appelant demande que les experts expliquent leurs propos, complètent leur évaluation et décrivent leur appréciation de sa responsabilité pénale dans l’hypothè­se où le diagnostic de trouble bipolaire de type I devait être retenu (question n o 1). Il ressort toutefois de l’anamnèse réalisée par les experts que les premières difficultés de l’appelant seraient survenues en 2014, qu’elles étaient principalement liées à des conflits de couple, qu’il avait surpris sa femme avec un autre homme chez lui, qu’il aurait alors perdu pied, qu’il serait entré pendant des mois dans une phase de « je-m’en-foutisme », que les conflits conjugaux se seraient accrus, que son épouse aurait « déposé l’hypothèque légale » de l’entreprise et que l’appelant en aurait été effondré. Il s’ensuit que les experts ont manifestement tenu compte de l’état de dénuement et de laisser-aller total mis en avant par l’appelant dans sa demande de complément d’expertise lorsqu’ils ont exclu le diagnostic de trouble bipolaire posé par le médecin traitant. Il n’y a dès lors pas lieu de poser aux experts la question complémentaire voulue par l’appelant.</w:t>
      </w:r>
    </w:p>
    <w:p>
      <w:r>
        <w:rPr>
          <w:b/>
        </w:rPr>
        <w:t>E. 3.3.2</w:t>
      </w:r>
    </w:p>
    <w:p>
      <w:r>
        <w:t>L’appelant fait ensuite valoir que les experts ne se prononcent pas sur la gravité du trouble diagnostiqué, ni sur son influence sur son comportement général. Il requiert que les experts se prononcent sur ces aspects (question n o 2). Il apparaît toutefois que la gravité des troubles de l’appelant et leur influence sur son comportement général et délictuel ont été décrits de manière suffisamment détaillée par les experts dans la partie « discus­sion » de leur rapport, de sorte qu’il n’y a pas lieu de leur soumettre cette question complémentaire.</w:t>
      </w:r>
    </w:p>
    <w:p>
      <w:r>
        <w:rPr>
          <w:b/>
        </w:rPr>
        <w:t>E. 3.3.3</w:t>
      </w:r>
    </w:p>
    <w:p>
      <w:r>
        <w:t>L’appelant demande que les experts précisent et quantifient l’incidence sur la responsabilité pénale de l’expertisé de ses consommations d’alcool et de cocaïne, respectivement d’un éventuel sevrage (question n o 3). Dans la mesure où les experts ont mentionné que l’éventuelle consom­mation d’alcool ou de cocaïne au moment des faits pouvait également altérer les capacités volitives de l’appelant par effet de désinhibition (P. 77 p. 9), il ne fait aucun doute qu’ils ont tenu compte de cet élément lorsqu’ils ont apprécié la diminution de responsabilité de l’appelant. Les experts ayant tenu compte de cet élément dans leurs conclusions, cette question complémentaire est inutile.</w:t>
      </w:r>
    </w:p>
    <w:p>
      <w:r>
        <w:rPr>
          <w:b/>
        </w:rPr>
        <w:t>E. 3.3.4</w:t>
      </w:r>
    </w:p>
    <w:p>
      <w:r>
        <w:t>L’appelant souhaite que les experts se prononcent sur l’incidence que présenterait l’octroi d’un sursis, assorti d’une règle de conduite consistant à ce qu’il se rende régulièrement aux consultations du Dr E.________, sur le risque de récidive (question n o 4). Les experts ont retenu l’existence d’un risque de récidive tout en indiquant que ce risque était susceptible d’être pondéré par une prise en charge spécifique, ce qui est suffisant pour que la Cour de céans puisse se prononcer sur l’éventualité d’un sursis assorti d’une règle de conduite. Il n’y a dès lors pas lieu de poser aux experts la question complémentaire n o</w:t>
      </w:r>
    </w:p>
    <w:p>
      <w:r>
        <w:rPr>
          <w:b/>
        </w:rPr>
        <w:t>E. 3.3.5</w:t>
      </w:r>
    </w:p>
    <w:p>
      <w:r>
        <w:t>Il résulte de ce qui précède que les experts ont rendu un rapport d’expertise parfaitement clair et complet qui prend en compte tous les éléments avancés par l’appelant. Les experts ont en outre exposé de manière convaincante les raisons pour lesquelles ils écartaient le diagnostic de trouble bipolaire au sens de la CIM-10 posé par le médecin traitant de l’appelant. Le fait que ce dernier soit d’un avis différent n’est pas de nature, à lui seul, à remettre en cause l’expertise qui a été rédigée par deux experts reconnus. Au vu de ce qui précède, le dossier de la cause apparaît suffisamment complet et clair pour permettre à la Cour de céans de statuer sur les questions litigieuses sans qu’un complément d’expertise soit ordonné.</w:t>
      </w:r>
    </w:p>
    <w:p>
      <w:r>
        <w:rPr>
          <w:b/>
        </w:rPr>
        <w:t>E. 4.1</w:t>
      </w:r>
    </w:p>
    <w:p>
      <w:r>
        <w:t>Invoquant le principe de la présomption d’innocence, l’appelant contes­te l’appréciation des preuves opérée par la première juge s’agissant des cas 3, 4, 5, 7, 8, 9 et 10 de l’acte d’accusation.</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4.3.1</w:t>
      </w:r>
    </w:p>
    <w:p>
      <w:r>
        <w:t>L’appelant conteste sa condamnation pour violation de domicile et dommages à la propriété (cas 3). Il reproche à la première juge d’avoir retenu qu’il s’était introduit dans les locaux de la société de la plaignante par effraction et qu’il y avait découpé une toile représentant un éléphant. Lors de son audition par la police le 6 juillet 2015, M.________ a déclaré que son ex-femme, gérante de la société Z.________, avait changé tous les cylindres de l’entreprise, qu’il avait ouvert la porte arrière de l’entreprise avec un coup de pied et qu’il avait « découpé » la toile éléphant sous le coup de l’énervement (Dossier C, PV aud. 2 D 7). Le 19 avril 2016, le prévenu a confirmé au Ministère public qu’il était rentré dans ces locaux par effraction (PV aud. 3 ll. 90 ss). Partant, l’appréciation de la première juge ne prête pas le flanc à la critique et peut être confirmée. Les conditions d’une condamnation pour violation de domicile (art. 186 CP) et dommages à la propriété (art. 144 al. 1 CP) sont mani­festement remplies, la faillite de la société plaignante Z.________ n’entraînant au surplus nullement la caducité des plaintes déposées valable­ment avant que celle-ci ne soit prononcée. Mal fondé, ce grief doit être rejeté.</w:t>
      </w:r>
    </w:p>
    <w:p>
      <w:r>
        <w:rPr>
          <w:b/>
        </w:rPr>
        <w:t>E. 4.3.2</w:t>
      </w:r>
    </w:p>
    <w:p>
      <w:r>
        <w:t>S’agissant du cas 4, l’appelant conteste avoir commis les faits repro­chés, niant s’être introduit par effraction dans les locaux de la société Z.________ le 7 avril 2015 et y avoir emporté une visseuse de marque Hilti ne lui appartenant pas. Il fait valoir qu’aucune plainte n’a été déposée en temps utile par l’hypothétique lésé. Le 8 avril 2015, P.________, en sa qualité de représen­tante de la société Z.________, a déposé plainte pour les infractions reprochées au cas 4, précisant que la porte arrière de l’entreprise avait été enfoncée (Dossier C, P. 5). Si le prévenu a tout d’abord contesté avoir emporté des visseuses et de l’outillage (Dossier C, PV aud, 2 R. 8), il a ultérieurement admis qu’il avait pénétré dans ces locaux par effraction ce jour-là (Dossier C, PV aud. 4 ; PV aud. 3 ll. 90 ss) et qu’il avait emporté une visseuse lui appartenant (Dossier C, PV aud. 4 R 6). Le fait que la visseuse emportée lui appartenait n’est pas établi et est clairement contredit par le fait que celle-ci se trouvait dans les locaux de la société Z.________. Il n’y a dès lors aucune raison de s’écarter des faits retenus à la charge d’M.________ dans le jugement de première instan­ce. Mal fondés, les moyens de l’appelant doivent être rejetés.</w:t>
      </w:r>
    </w:p>
    <w:p>
      <w:r>
        <w:rPr>
          <w:b/>
        </w:rPr>
        <w:t>E. 4.3.3</w:t>
      </w:r>
    </w:p>
    <w:p>
      <w:r>
        <w:t>L’appelant conteste sa condamnation pour abus de confiance (cas 5), soutenant ne pas avoir conservé, au terme de son emploi auprès de la société F.________, l’I-Pad et les I-Phones qui lui avaient été confiés dans le cadre de son travail. Lors de son audition par la police le 6 juillet 2015, M.________ a soutenu qu’il avait rendu ces appareils lorsqu’il avait quitté la société (Dossier C, PV aud. 2 D 9). La version de la plaignante, contredite par celle du prévenu, n’est corroborée par aucun autre élément au dossier, de sorte que les charges sont insuf­fi­santes pour fonder la culpabilité de l’appelant. M.________ doit ainsi être libéré, au bénéfice du doute, de l’infraction d’abus de confiance relative au cas 5 de l’acte d’accusation.</w:t>
      </w:r>
    </w:p>
    <w:p>
      <w:r>
        <w:rPr>
          <w:b/>
        </w:rPr>
        <w:t>E. 4.3.4</w:t>
      </w:r>
    </w:p>
    <w:p>
      <w:r>
        <w:t>S’agissant des cas 7, 8 et 9, l’appelant conteste avoir commis intention­nelle­ment les faits qui lui sont reprochés, soutenant qu’il ignorait qu’il ne pouvait pas conduire un véhicule automobile jusqu’à ce que la police l’en informe lors de son audition du 7 mars 2016 et qu’il n’avait pas compris qu’il était sous le coup d’une interdiction de conduire. M.________ a été condamné pour ivresse qualifiée et pour injure envers les policiers qui l’avaient interpellé le 13 novembre 2015 (cas 6), infractions qui ne sont pas contestées. Le soir de son interpellation, M.________ était très agité, bien que le médecin qui a pratiqué la prise de sang explique qu’il a fini par se calmer (Dossier C, P. 15). Le prévenu n’ayant pas été en mesure de présenter son permis de conduire ce soir-là, les policiers lui ont notifié une interdiction momentanée de conduire sur laquelle figure la mention « refuse de signer » en lieu et place de la signature (Dossier C, PV aud 5, R. 9 et P. 14). Il ressort du rapport de police établi le 26 novem­bre 2015 par les deux policiers ayant procédé à son interpellation le 13 novembre 2015 au soir que le prévenu a bien été rendu attentif au fait qu’il ne pouvait plus conduire avant d’avoir reçu des nouvelles du SAN, que le prévenu a toutefois refusé de signer quoi que ce soit, que le véhicule qu’il conduisait a été parqué par l’un des agents et que les clés et le permis de circulation du véhicule ont été remis ultérieurement à S.________, détentrice du véhicule (Dossier C, P. 16). Entendue aux débats, l’appointée L.________ a confirmé que, lors de son interpellation, le prévenu avait refusé de signer les docu­ments qui lui étaient soumis, que ceux-ci lui avaient été lus et bien expliqués, et que le prévenu leur avait dit que comme il ne signait pas les documents, ils n’étaient pas valables (Jugement p. 8). Le formulaire comportant une interdiction momentanée de conduire que le prévenu a refusé de signer a été transmis au SAN, lequel a prononcé un retrait de permis de conduire préventif à l’encontre du prévenu le 23 décembre 2015. Cette décision a été envoyée pour notification sous pli recommandé à M.________ (P. 14, P. 46). L’instruction n’a pas permis d’établir que la décision de retrait du 23 décembre 2015 avait été notifiée à M.________, puisque la signature apposée sur l’avis de retrait le 4 janvier 2016 n’est pas celle du prévenu. Il n’en demeure pas moins qu’il est établi que l’appelant s’est vu notifier une interdiction momentanée de conduire lors de son interpellation du 13 novembre 2015 au soir et qu’il ne pouvait dès lors pas ignorer, tant le 17 novembre 2015, que les 8 et 16 février 2016, qu’il était sous le coup d’une interdiction de conduire. En outre, le prévenu est un coutumier du retrait de permis de conduire, puisque son permis lui a été retiré à sept reprises entre 2003 et 2015, dont une fois pour une durée de 14 mois pour avoir conduit malgré un retrait de permis, et il a déjà été condamné pour conduite sans permis de conduire le 27 octobre 2009 par le Juge d’instruction de Lausanne. Au vu de ce qui précède, c’est à bon droit que la première juge a retenu que l’appelant avait circulé au volant d’une voiture les 17  novembre 2015, 8 février 2016 et 16 février 2016, alors qu’il était sous le coup d’une interdiction provisoire de conduire. Mal fondés, les griefs de l’appelant doivent être rejetés.</w:t>
      </w:r>
    </w:p>
    <w:p>
      <w:r>
        <w:rPr>
          <w:b/>
        </w:rPr>
        <w:t>E. 4.3.5.1</w:t>
      </w:r>
    </w:p>
    <w:p>
      <w:r>
        <w:t>L’appelant conteste sa condamnation pour empêchement d’accomplir un acte officiel au sens de l’art. 286 CP  (Code pénal suisse du 21 décembre 1937 ; RS 311.0) (cas 10), faisant valoir que les conditions d’appli­cation de cette disposition ne sont pas réalisées dès lors qu’il n’a fait que manifester son désaccord.</w:t>
      </w:r>
    </w:p>
    <w:p>
      <w:r>
        <w:rPr>
          <w:b/>
        </w:rPr>
        <w:t>E. 4.3.5.2</w:t>
      </w:r>
    </w:p>
    <w:p>
      <w:r>
        <w:t>En vertu de l’art. 286 CP, celui qui aura empêché une autorité, un membre d'une autorité ou un fonctionnaire d'accomplir un acte entrant dans ses fonctions sera puni d'une peine pécuniaire de 30 jours-amende au plus. La norme définit une infraction de résultat. Il n'est pas nécessaire que l'auteur parvienne à empêcher effectivement l'accomplissement de l'acte officiel. Il suffit qu'il le rende plus difficile, l'entrave ou le diffère (ATF 133 IV 97 consid. 4.2 et réf. cit.). Par acte de l'autorité, on entend une activité d'une autorité, d'un membre d'une autorité ou d'un fonctionnaire entrant dans le cadre de sa compétence officielle (ATF 103 IV 186 consid. 2).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et les réf. cit.). Le seul fait d'exprimer son désaccord à l'endroit d'un acte entrepris par un fonctionnaire, mais sans l'entraver, ne suffit pas (ATF 105 IV 48 consid. 3). Le comportement incriminé à l'art. 286 CP suppose une résistance qui implique une certaine activité (ATF 133 IV 97 consid. 4.2 et les réf. cit.), qui est réalisée, par exemple, par le fait de prendre la fuite (ATF 120 IV 136 consid. 2a et les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2010, n. 13 ad art. 286 CP).</w:t>
      </w:r>
    </w:p>
    <w:p>
      <w:r>
        <w:rPr>
          <w:b/>
        </w:rPr>
        <w:t>E. 4.3.5.3</w:t>
      </w:r>
    </w:p>
    <w:p>
      <w:r>
        <w:t>Aux débats, M.________ a admis les faits, tout en reconnais­sant que l’intervention avait été musclée et qu’il était excité (Jugement p. 5). L’intervention des patrouilleurs, appelés par le biais de la centrale, entrait à l’éviden­ce dans le cadre de leur mission officielle, ce qui n’est pas contesté. L’appelant a adopté un comportement provocateur et injurieux envers les trois patrouilleurs initialement présents, avant de refuser d’obtempérer à leurs demandes – s’asseoir et se calmer –, contraignant les policiers à le menotter, puis à l’amener au sol. M.________ a continué à gesticuler et à s’opposer à son accompagnement, ce qui a nécessité l’intervention d’une patrouille supplémentaire pour le conduire jusqu’au véhicule de service. L’appelant n’en est pas resté là puisqu’il n’a pas chan­gé de comportement et est demeuré dans l’opposition lorsqu’il s’est retrouvé dans les locaux de la police, sa fouille complète ayant dû être faite sous contrainte et au sol, au vu de son comportement. L’appelant a également refusé de se soumettre à un éthylotest (P. 24/1). Un tel comportement constitue manifestement un acte d’entrave au sens de l’art. 286 CP. Partant, compte tenu de l’ensemble de ces éléments, la condamnation d’M.________ pour l’infraction d’empêchement d’accomplir un acte officiel doit être confirmée.</w:t>
      </w:r>
    </w:p>
    <w:p>
      <w:r>
        <w:rPr>
          <w:b/>
        </w:rPr>
        <w:t>E. 5.1</w:t>
      </w:r>
    </w:p>
    <w:p>
      <w:r>
        <w:t>L’appelant conteste la peine privative de liberté qui lui a été infligée, faisant valoir que sa culpabilité n’est pas aussi lourde que celle retenue par la première juge. Il requiert qu’il soit uniquement condamné à une peine pécuniaire inférieure à 10 jours-amende avec sursis pendant 2 ans, que l’amende soit réduite à 100 fr. et que le sursis qui lui avait été accordé le 9 décembre 2015 ne soit pas révoqué.</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 ATF 134 IV 17 consid.</w:t>
      </w:r>
    </w:p>
    <w:p>
      <w:r>
        <w:rPr>
          <w:b/>
        </w:rPr>
        <w:t>E. 5.2.2</w:t>
      </w:r>
    </w:p>
    <w:p>
      <w:r>
        <w:t>Selon l'art. 40 aCP,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Les art. 40 et 41 aCP ont été modifiés avec effet au 1 er janvier 2018 (RO [Recueil officiel] 2016 1249). Selon le nouveau droit, la durée minimale de la peine privative de liberté est en principe de trois jours (art. 40 al. 1 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En l’espèce, la nature de la peine se détermine au regard des art. 40 et 41 aCP, qui demeurent applicables, les nouvelles dispositions n'étant pas plus favorables (cf. art. 2 al. 2 CP).</w:t>
      </w:r>
    </w:p>
    <w:p>
      <w:r>
        <w:rPr>
          <w:b/>
        </w:rPr>
        <w:t>E. 5.2.3</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5.2.4</w:t>
      </w:r>
    </w:p>
    <w:p>
      <w:r>
        <w:t>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 e éd., Bâle 2017, n. 7 ad art. 106 CP).</w:t>
      </w:r>
    </w:p>
    <w:p>
      <w:r>
        <w:rPr>
          <w:b/>
        </w:rPr>
        <w:t>E. 5.2.5</w:t>
      </w:r>
    </w:p>
    <w:p>
      <w:r>
        <w:t>Selon l'art. 49 al. 1 CP,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142 IV 265 consid. 2.3.1-2.3.2 p. 267 ss ; ATF 137 IV 57 consid. 4.3.1 p. 58).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p. 331 ; ATF 142 IV 265 consid. 2.3.3 p. 268).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 ATF 141 IV 61 consid. 6.1.2 p. 67). En présence d'un concours rétrospectif, le juge doit exceptionnellement exposer au moyen de chiffres comment il a fixé la peine qu'il prononce (ATF 142 IV 265 consid. 2.3.3 p. 268 ; ATF 132 IV 102 consid. 8.3).</w:t>
      </w:r>
    </w:p>
    <w:p>
      <w:r>
        <w:rPr>
          <w:b/>
        </w:rPr>
        <w:t>E. 5.2.6</w:t>
      </w:r>
    </w:p>
    <w:p>
      <w:r>
        <w:t>Les principes qui président à la fixation de la peine en cas de diminution de la responsabilité (art. 19 al. 2 CP) ont été arrêtés dans l'arrêt publié aux ATF 136 IV 55: une diminution de la responsabilité au sens de cette disposition conduit à une diminution de la faute et non de la peine. La réduction de celle-ci n'est que la conséquence de la faute plus légère (consid. 5.5 pp. 59 ss).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 60 ss).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 62 ss; ATF 136 IV 55 ; TF 6B_292/2017 du 14 novembre 2017 consid. 3.5 ; TF 6B_975/2015 consid. 6.1).</w:t>
      </w:r>
    </w:p>
    <w:p>
      <w:r>
        <w:rPr>
          <w:b/>
        </w:rPr>
        <w:t>E. 5.2.7</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6 mois et un an au plus: le sursis reste la règle, et le sursis partiel l'exception (Cuendet/Genton, La fixation de la peine et le sursis à l'aune du nouveau droit des sanctions, in : Forumpoenale 5/2017 pp. 327-3288; CAPE 8 février 2018/32 consid. 5.2.1 in fine).</w:t>
      </w:r>
    </w:p>
    <w:p>
      <w:r>
        <w:rPr>
          <w:b/>
        </w:rPr>
        <w:t>E. 5.2.8</w:t>
      </w:r>
    </w:p>
    <w:p>
      <w:r>
        <w:t>Aux termes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 juge doit en particulier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w:t>
      </w:r>
    </w:p>
    <w:p>
      <w:r>
        <w:rPr>
          <w:b/>
        </w:rPr>
        <w:t>E. 5.3.1</w:t>
      </w:r>
    </w:p>
    <w:p>
      <w:r>
        <w:t>En l’espèce, l’appelant est libéré du chef de prévention d’abus de confiance par la Cour de céans, mais sa condamnation pour lésions corporelles simples qualifiées, vol, vol d’im­portance mineure, dommages la propriété, injure, violation de domicile, empê­che­ment d’accomplir un acte officiel, violation simple des règles de la circulation routière, conduite en état d’ébriété qualifiée, conduite d’un véhicule défectueux, vol d’usage, conduite d’un véhicule automobile malgré le refus, le retrait ou l’interdiction de l’usage du permis, circulation sans assurance responsa­bilité civile, usage abusif de permis et/ou de plaques de contrôle, infraction à l’ordon­nance sur les règles la circulation routière, contravention à la loi fédérale sur les stupéfiants et contravention à la loi vaudoise sur les contraventions est confir­mée. La culpabilité de l’appelant apparaît dès lors légèrement moins lourde que celle retenue par la première juge, la peine privative de liberté ne devant plus sanctionner l’infrac­tion de l’art. 138 ch. 1 al. 1 CP. Cela étant, l’appelant s’en est en particulier pris à l’intégrité physique de son épouse d’une manière incroyablement violente et lâche, puisqu’il n’a pas hésité à lui donner des coups de pied, à la projeter au sol, puis à la frapper au visage avec son pied alors qu’elle était à terre. Il lui a ainsi causé de nombreux hématomes et de sérieu­ses blessures, soit une fracture parasymphysaire gauche de la mandibule qui a nécessité une intervention chirurgicale et un arrêt de travail à 100 % durant près de deux semaines. La vitalité des dents de la plaignante autour de la facture doit à ce jour encore être surveillée et une nouvelle intervention en vue de l’ablation du matériel d’ostéosynthèse n’est pas exclue. L’acte de l’appelant est d’autant plus odieux qu’il a eu lieu en présence de la fille cadette des parties qui n’était alors âgée que de 9 ans. A cela s’ajoute le fait que l’appelant a encore cherché à atteindre son épouse en s’en prenant au patrimoine de la société dont elle était l’administratrice. Il n’a pas hésité non plus à s’en prendre à plusieurs reprises à des représentants des forces de l’ordre tout en multipliant les infractions en matière de circulation routière. La nou­velle compagne de l’appelant n’a pas été épargnée par son comportement violent. Ces nombreuses infractions ont été commises dans un laps de temps relativement long, soit entre août 2014 et décembre 2015. Elles révèlent le mépris manifeste de l’appelant pour l’ordre juridique de manière générale et pour son entourage en particulier. A charge, on retiendra encore que l’appelant a été déjà été condamné à cinq reprises pour des infractions à la loi sur la circulation routière, à la loi sur le séjour l’établissement des étrangers, à la loi sur les stupéfiants, ainsi que pour tentative de contrainte. Le fichier ADMAS de l’appelant fait état de pas moins de dix mesures administratives prononcées à son encontre entre le mois de janvier 2002 et le 4 janvier 2016, ce dont la première juge ne paraît pas avoir tenu compte. Il est en outre manifeste que l’appelant n’a clairement pas pris conscience du carac­tère illicite et de la gravité de ses actes. Il cherche en effet à minimiser sa culpabilité et à rejeter la responsabilité de ses comportements sur les autres. Cette attitude s’est encore confirmée devant les experts qui ont relevé que l’appelant tendait à banaliser les actes qui lui étaient reprochés par le tribunal ou à remettre la faute sur autrui (P. 77, p. 4) et qu’il pouvait par ailleurs facilement utiliser un langage inapproprié et insultant à l’égard de son ex-femme notamment (P. 77, p. 7). A décharge, il pourra uniquement être tenu compte, qui plus est dans une très faible mesure seulement, du fait que l’appelant a admis du bout des lèvres certains cas de l’acte d’accusation. La situation difficile du prévenu a quant à elle conduit les experts à admettre l’existence d’une légère diminution de responsabilité, de sorte qu’il n’y a pas lieu d’en tenir compte une nouvelle fois dans ce cadre. Tout bien considéré, la culpabilité de l’appelant n’est en soi pas seulement lourde, comme l’a retenu la première juge, mais très lourde. Elle ne sera toutefois qualifiée que de lourde compte tenu de la légère diminution de respon­sabilité attestée par les experts. Au vu du concours d’infrac­tions, du passé judiciaire de l’appelant, de sa lourde culpabilité et de sa propension à commettre des infractions, une peine privative de liberté s’impose pour sanctionner les délits commis, sous réserve de l’injure et des contraventions. Compte tenu des éléments à charge et à décharge, et de la libération de l’appelant du chef de prévention d’abus de confiance, laquelle n’a toutefois qu’une incidence très limitée sur la baisse de la peine en raison des autres concours d’infractions, la peine privative de liberté prononcée par la première juge doit être réduite à 8 mois, peine apparaissant adéquate pour réprimer l’ensemble des infractions commises. S’agissant de l’infraction d’injure, seule une peine pécuniaire entre en considération (art. 177 CP). Les faits retenus au cas 6 sont antérieurs au jugement du 9 décembre 2015 par lequel le Tribunal de police de l’arrondissement de Lausanne a condamné l’appelant à 20 jours-amende à 10 fr. le jour avec sursis durant 3 ans et à 100 fr. d’amende pour tentative de contrainte et contravention à la loi fédérale sur les stupéfiants. La peine de 20 jours-amende réprime une infraction plus grave que l’injure, soit une tentative de contrainte. On peut considérer qu’elle aurait été augmentée de 10 jours-amende si l’injure retenue au cas 6 avait été jugée en même temps. Les faits du cas 10, postérieurs au jugement du 9 décembre 2015, doivent quant à eux être sanctionnés par le présent jugement. Il s’ensuit que la peine pécuniaire de 20 jours-amende à</w:t>
      </w:r>
    </w:p>
    <w:p>
      <w:r>
        <w:rPr>
          <w:b/>
        </w:rPr>
        <w:t>E. 5.3.2</w:t>
      </w:r>
    </w:p>
    <w:p>
      <w:r>
        <w:t>Quant à l’octroi du sursis, il faut admettre, à l’instar de la première juge, que le prévenu ne remplit pas les conditions posées à l’art. 42 al. 2 CP, celui-ci ne pouvant en effet pas se prévaloir de circonstances particulièrement favorables. En effet, les cinq condamnations antérieures du prévenu et la révocation d’un sursis précédemment octroyé ne l’ont pas dissuadé de poursuivre ses agissements délic­tueux, et il a même commis de nouvelles infractions alors qu’une enquête pénale était ouverte contre lui. Le prévenu a eu de manière répétée une attitude vindicative et injurieuse à l’égard d’agents de police et a commis des infractions routières à répétition. Le prévenu n’a donc visiblement pas pris conscience de la gravité de ses actes et de leur caractère illicite. Le risque de récidive est d’ailleurs attesté par les experts. Si ce risque pourrait certes être pondéré par une prise en charge spécifique du type de celle actuellement en cours auprès du Dr E.________, les experts ont observé que le prévenu manquait régulièrement les rendez-vous fixés (P. 77 p. 5). Pour ce motif, un sursis assorti d’une règle de conduite consistant à ce que le prévenu se rende régulièrement aux consultations de ce médecin ne peut être envisagé. La sanction demeurera donc ferme ce qui, selon les experts, n’est pas incompatible avec la poursuite d’un traitement médical selon un mode volontaire (P. 77 p. 11). Le sursis doit donc être refusé à M.________.</w:t>
      </w:r>
    </w:p>
    <w:p>
      <w:r>
        <w:rPr>
          <w:b/>
        </w:rPr>
        <w:t>E. 5.3.3</w:t>
      </w:r>
    </w:p>
    <w:p>
      <w:r>
        <w:t>En l’occurrence, l’appelant a récidivé durant le délai d’épreuve de 3 ans qui lui avait été octroyé le 9 décembre 2015 par le Tribunal de police de l’arrondisse­ment de Lausanne en commettant de nombreuses infractions. Vu l’absence totale de prise de conscience de l’appelant, qui persiste dans son comportement délictueux, le pronostic quant à son comportement futur apparaît clairement défavorable, l’exécu­tion de la peine privative de liberté de huit mois prononcée par le présent jugement n’apparaissant pas à elle seule suffisante à le détourner de la récidive. Les condi­tions de l’art. 46 CP sont par conséquent pas réunies, de sorte que la révocation du sursis accordé le 9 décembre 2015 doit être confirmée. 6. 6.1 Il convient encore de se prononcer sur la répartition des frais de première instance qui ont été mis intégralement à la charge de l’appelant. 6.2 Selon l'art. 426 al. 1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6.3 En l’espèce, le sort du prévenu est modifié en deuxième instance par la libération de l’appelant du chef de prévention d’abus de confiance. Il convient dès lors de réduire la part des frais de première instance qui sont mis à sa charge et de les arrêter aux 9/10 de la quotité des frais, par 13'801 fr. 55, y compris l’indemnité allouée à son défenseur d’office et l’indemnité allouée au conseil d’office de la partie plaignante, mis à sa charge par la première juge, soit à 12'421 fr. 40, le solde étant laissé à la charge de l’Etat. L'appelant ne sera tenu de rembourser à l’Etat les 9/10 des indemnités  allouées à son défenseur d’office et au conseil d’office de la partie plaignante que lorsque sa situation financière le permettra (art. 135 al. 4 CPP). Le jugement entrepris doit dès lors être réformé dans ce sens. 7. En définitive, l’appel d’M.________ doit être partiellement admis, le jugement entrepris étant réformé aux chiffres I, II, III, XI et XII dans le sens des considérants qui précèdent. Sur la liste des opérations produites (P. 91), Me Dario Barbosa, défenseur d’office d’M.________ désigné le 15 mai 2018 en remplacement de Me Laurent Rouiller (P. 88), mentionne 20 heures et 5 minutes d’activité, y compris 2 heures pour l’audience d’appel du 28 mai 2018, ainsi que 244 fr. de débours comprenant une vacation à 120 fr., 13 fr. 70 de timbres et 368 photocopies. Le temps allégué est adéquat. Il convient toutefois de tenir compte du temps effectif de l’audience d’appel qui a duré une heure et d’allouer un montant de 50 fr. à titre de débours, montant correspondant au forfait, ainsi qu’une vacation à 120 francs. C’est ainsi une indemnité totale d’un montant de 3'882 fr. 60, correspondant à 19 heures et 5 minutes d’activité à 180 fr., à 50 fr. de débours, 120 fr. de vacation et à 277 fr. 60 de TVA, qui doit être allouée à Me Dario Barbosa pour la procédure d’appel. Vu l’issue de la cause, les frais de la procédure d’appel, par 16'627 fr. 40 constitués en l’espèce de l’émolument du présent jugement, par 4'440 fr. (art. 21 al. 1 et 2 TFIP [Tarif des frais de procédure et indemnités en matière pénale du 28 septembre 2010; RSV 312.03.1]), des frais de l’expertise, par 6'300 fr., et des indem­nités de défenseur d’office allouées à Me Laurent Rouiller, par 2'004 fr. 80 (P. 89), et à Me Dario Barbosa, par 3'882 fr. 60, seront mis à raison des 2/3, soit par 11'084 fr. 95, à la charge d’M.________, qui succombe (art. 428 al. 2 CPP), le solde étant laissé à la charge de l’Etat. L'appelant ne sera tenu de rembourser à l’Etat les 2/3 des indemnités  allouées à ses défenseur d’office que lorsque sa situation financière le permettra (art. 135 al. 4 CPP).</w:t>
      </w:r>
    </w:p>
    <w:p>
      <w:r>
        <w:rPr>
          <w:b/>
        </w:rPr>
        <w:t>E. 10</w:t>
      </w:r>
    </w:p>
    <w:p>
      <w:r>
        <w:t>fr. le jour prononcée pour sanctionner les injures retenues aux cas 6 et 10, peine partiellement complémentaire à celle prononcée par le Tribunal de police de l’arrondissement de Lausanne le 9 décembre 2015, est parfaitement justifiée et doit être confirmée. Une amende doit encore être prononcée pour sanctionner le vol d’importance mineure, les contraventions à la loi sur la circulation routière ainsi que celle à la loi vaudoise sur les contraventions. Au vu de la situation financière du prévenu, qui réalise un salaire mensuel net de 1'800 fr., la Cour de céans considère que l’amende de 1'000 fr. prononcée par la première juge est adéquate pour sanctionner les agissements du prévenu. Elle doit être assortie d’une peine privative de liberté de substitution de 10 jours, correspon­dant au taux de conversion « standard » de l’amende de 100 fr. pour un jour de privation de liberté (Dupuis et alii, op. cit., n. 9 ad art. 106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