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249 vom 27. Juni 2018</w:t>
      </w:r>
    </w:p>
    <w:p>
      <w:r>
        <w:t>VD Tribunal cantonal, 2018-06-27, FR</w:t>
      </w:r>
    </w:p>
    <w:p>
      <w:r>
        <w:rPr>
          <w:b/>
        </w:rPr>
        <w:t xml:space="preserve">Quelle: </w:t>
      </w:r>
      <w:r>
        <w:t>https://mcp.opencaselaw.ch/entscheid/vd_findinfo_Jug___2018___249</w:t>
      </w:r>
    </w:p>
    <w:p>
      <w:r>
        <w:t>FR: VD_FINDINFO Jug / 2018 / 249 du 27 juin 2018</w:t>
      </w:r>
    </w:p>
    <w:p>
      <w:r>
        <w:t>IT: VD_FINDINFO Jug / 2018 / 249 del 27 giugno 2018</w:t>
      </w:r>
    </w:p>
    <w:p>
      <w:pPr>
        <w:pStyle w:val="Heading2"/>
      </w:pPr>
      <w:r>
        <w:t>Regeste</w:t>
      </w:r>
    </w:p>
    <w:p>
      <w:r>
        <w:t>ESCROQUERIE, IN DUBIO PRO REO, ASTUCE, TROMPERIE, CONSTATATION DES FAITS, FRAIS DE LA PROCÉDURE, DÉPENS | 146 al. 1 CP, 10 CPP (CH), 426 al. 2 CPP (CH), 429 al. 1 let. a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 Ils doivent faire l’objet d’un même jugement. Les pièces produites aux débats d’appel par la partie plaignante sont également recevables (art. 389 al. 3 CPP; TF 6B_654/2013 du 31 octobre 2013 consid. 2.2-2.3).</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Dans son appel, la partie plaignante soutient que la condition de l’astuce serait réalisée et que le prévenu devrait dès lors être condamné pour escroquerie. De son côté, le prévenu conteste sa condamnation aux frais nonobstant sa libération des fins de la poursuite pénale, en soutenant notamment qu’il n’aurait pas trompé le plaignant, en d’autres termes qu’il n’aurait commis aucun acte illicite même civilement. L’éventuelle absence de tromperie est non seulement de nature à exclure la faute civile retenue par les premiers juges pour justifier la condamnation du prévenu au paiement des frais mais également à empêcher toute condamnation pour escroquerie. Partant, il convient de commencer par examiner si les faits constitutifs d’une tromperie sont en l’espèce établis. A cet égard, le prévenu conteste en particulier la conclusion des premiers juges selon laquelle la carrosserie vendue ne serait pas une carrosserie de marque Horch.</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porte sur la répartition du fardeau de la preuve dans le procès pénal, d'une part, et sur la constatation des faits et l'appréciation des preuves, d'autre part.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p. 82; ATF 124 IV 86 consid. 2a p. 87 s.; ATF 120 Ia 31 consid. 2 p. 33 ss). Une décision n'est pas arbitraire du seul fait qu'elle apparaît discutable ou même critiquable; il faut qu'elle soit manifestement insoutenable, et cela non seulement dans sa motivation mais aussi dans son résultat (ATF 142 II 369 consid. 4.3 p. 380; ATF 141 IV 305 consid. 1.2 p. 308 s.; ATF 141 I 49 consid. 3.4 p. 53).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p. 375; ATF 140 III 264 consid. 2.3 p. 266; ATF 129 I 8 consid. 2.1 p. 8).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TF 6B_1183/2016 du 24 août 2017 consid. 1.1; TF 6B_445/2016 du 5 juillet 2017 consid. 5.1).</w:t>
      </w:r>
    </w:p>
    <w:p>
      <w:r>
        <w:rPr>
          <w:b/>
        </w:rPr>
        <w:t>E. 3.3</w:t>
      </w:r>
    </w:p>
    <w:p>
      <w:r>
        <w:t>En l’espèce, le tribunal correctionnel a tout d’abord fondé sa conviction sur le «rapport» établi le 13 avril 2012 aux termes duquel [...] et [...], qualifiés d’experts par les premiers juges, seraient arrivés à la conclusion que la carrosserie en cause n’était pas celle d’une Horch (cf. jugement, p. 19 ss). Le document en question n’est en réalité que la copie signée (séparément par ses auteurs communs) d’un simple courriel qui avait été adressé le 13 avril 2012 à la partie plaignante, visiblement à sa demande (P. 6/26). Les signataires ne font qu’y exposer sommairement et de mémoire ([…] aus dem Gedächnis [sic] zu dieser Sache ) les raisons pour lesquelles ils n’ont pas pu confirmer que la carrosserie en cause était bien celle d’une voiture Horch ( Leider konnten wir keinen Anhaltspunkt finden, welcher auf ein Horch Produkt zurückzuführen gewesen wäre ). Hormis ce qu’ils disent d’eux-mêmes dans ce courriel ainsi que sur leur site Internet, on ignore par ailleurs tout des qualifications professionnelles de ces deux personnages, de sorte qu’il n’est pas possible d’affirmer, comme l’a fait le tribunal correctionnel (jugement, p. 20 in fine), qu’ils feraient autorité en matière de voitures anciennes de collection et encore moins de les qualifier d’experts. Le document établi le 13 avril 2012 ne constitue donc rien d’autre qu’un témoignage écrit, rédigé à la demande du plaignant, sans que ses auteurs n’aient été informés de leurs droits et obligations en qualité de témoin, et notamment de leur obligation de répondre conformément à la vérité (art. 177 CPP). Il est dès lors douteux que ce document puisse être considéré comme une preuve exploitable (cf. Moreillon/Parein-Reymond, Petit commentaire CPP, 2 e éd., Bâle 2016, n. 4 ad art. 145 CPP). Il est en tous les cas certain que sa force probante est pratiquement nulle ou à tous le moins pas plus élevée que celle des témoignages écrits produits par le prévenu lui-même pour attester que la carrosserie en cause serait bel et bien celle d’une voiture Horch (P. 59/15; P. 105/3). Les premiers juges ont ensuite considéré que le témoignage de [...] permettait également de se convaincre de ce que la carrosserie en cause n’était pas celle d’une Horch (jugement, p. 21 ss). Entendu par le procureur en tant que témoin, [...] a effectivement affirmé que cette carrosserie était une carrosserie de marque Delage de type DM (PV aud. 3, lignes 38 ss et 112). Il ressort toutefois des pièces au dossier que ce témoin avait au préalable été en contact avec le plaignant et son avocat (P. 59/7) et qu’il était même prévu que le plaignant le rencontrât à Genève, en compagnie du témoin [...], pour « discuter de la procédure » avant les auditions prévues devant le procureur (P. 59/10). On peut donc à tout le moins suspecter que les intéressés se sont, avant leur audition, entendus sur une version servant les intérêts du plaignant. Cela paraît d’autant plus probable que le même [...] avait auparavant et à plusieurs reprises affirmé être convaincu que la carrosserie en cause était bien celle d’une Horch, que ce soit dans des courriels adressés au prévenu (P. 59/11; P. 59/12) ou sur la facture établie le 3 novembre 2006 à son attention lors du transfert de la carrosserie en Suisse (P. 30). On sait aussi qu’il n’a commencé à soutenir le contraire qu’après l’éclosion d’un litige avec le prévenu (P. 27). Il découle de ce qui précède que le témoignage de [...] n’a aucune valeur probante. Un autre élément de la conviction des premiers juges (cf. not. jugement, p. 22) est constitué par les pièces produites par le témoin [...] lors de son audition devant le procureur, et en particulier la pièce 23, que le témoin a présentée comme la quittance signée lors de la livraison à son garage d’une partie de la carrosserie litigieuse. Cette pièce fait effectivement état de la vente, au prévenu, de diverses pièces d’un véhicule Delage type D6 dont un capot et deux portes. Le lien entre ces trois éléments et la carrosserie vendue au plaignant n’est pas manifeste et ne repose en réalité que sur les allégations du témoin [...] dont on vient de voir qu’elles étaient dépourvues de force probante. De toute manière, même en admettant que ces trois éléments correspondraient à ceux intégrés à la carrosserie vendue, il n’apparaît pas que cette pièce, qui n’est rien d’autre qu’une quittance visiblement griffonnée à la va-vite sur un coin de table, suffise, dans un domaine aussi spécifique et pointu, pour exclure que ce capot et ces portes aient en réalité été ceux d’un véhicule Horch. En définitive, force est de constater que le dossier ne permet pas de retenir que la carrosserie vendue au plaignant n’était pas une carrosserie de marque Horch, respectivement que rien ne permet, au vu de la présomption d’innocence, de s’écarter de la version du prévenu selon laquelle la pièce en cause était bien de cette marque.</w:t>
      </w:r>
    </w:p>
    <w:p>
      <w:r>
        <w:rPr>
          <w:b/>
        </w:rPr>
        <w:t>E. 4.1</w:t>
      </w:r>
    </w:p>
    <w:p>
      <w:r>
        <w:t>L'art.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6S.380/2001 du 13 novembre 2001 consid. 2b/aa non publié in ATF 128 IV 255 et les références citées; TF 6B_587/2012 du 22 juillet 2013 consid. 4.1). Une simple tromperie ne suffit toutefois pas. Encore faut-il qu'elle puisse être qualifiée d'astucieuse. Il y a astuce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ATF 135 IV 76 consid. 5.2 p. 79 ss).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TF 6B_944/2016 du 29 août 2017 consid. 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p. 213 s.).</w:t>
      </w:r>
    </w:p>
    <w:p>
      <w:r>
        <w:rPr>
          <w:b/>
        </w:rPr>
        <w:t>E. 4.2</w:t>
      </w:r>
    </w:p>
    <w:p>
      <w:r>
        <w:t>En l’espèce, et dans la mesure où il n’est, comme indiqué au considérant 3.3 ci-dessus, pas établi que la carrosserie vendue au plaignant n’était pas du type de celle promise par le prévenu, on ne peut à l’évidence pas retenir l’existence d’une tromperie au préjudice du plaignant. Un élément constitutif de l’infraction d’escroquerie fait ainsi défaut. La question de l’existence d’une éventuelle astuce ne se pose donc pas. Partant, la qualification juridique d’escroquerie est exclue, de même que toute condamnation du prévenu. La partie plaignante ne peut en outre qu’être renvoyée à agir par la voie civile (art. 126 al. 2 let. d CPP).</w:t>
      </w:r>
    </w:p>
    <w:p>
      <w:r>
        <w:rPr>
          <w:b/>
        </w:rPr>
        <w:t>E. 5.1</w:t>
      </w:r>
    </w:p>
    <w:p>
      <w:r>
        <w:t>En vertu de l’art. 423 al. 1 CPP, les frais de procédure sont mis à la charge de la Confédération ou du canton qui a conduit la procédure; les dispositions contraires du CPP sont réservées.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5.1.2; Chapuis, in : Kuhn/Jeanneret [éd.], op. cit., n. 2 ad art. 426 CPP) – et a provoqué ainsi l'ouverture d'une enquête pénale ou compliqué celle-ci (ATF 116 Ia 162 consid. 2d et 2e ; TF 6B_87/2012 du 27 avril 2012 consid. 1.2). Seul un comportement fautif et contraire à une règle juridique, qui soit en relation de causalité avec les frais imputés, entre en ligne de compte (ATF 119 Ia 332 consid. 1b; ATF 116 Ia 162 consid. 2c;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Sur la base de ces principes généraux, la jurisprudence admet la condamnation d'un prévenu acquitté à supporter tout ou partie des frais dans l’hypothèse où un dol au sens de l’art. 28 CO peut lui être reproché (TF 6B_998/2010 du 31 août 2011 et les références citées).</w:t>
      </w:r>
    </w:p>
    <w:p>
      <w:r>
        <w:rPr>
          <w:b/>
        </w:rPr>
        <w:t>E. 5.2</w:t>
      </w:r>
    </w:p>
    <w:p>
      <w:r>
        <w:t>En l’espèce, l’absence d’une tromperie exclut le dol au sens de l’art. 28 CO lors de la conclusion du contrat de vente incriminé. Il n’apparaît en outre pas que le prévenu aurait violé une autre norme de comportement qui aurait été à l’origine de l'ouverture de l'enquête pénale ou aurait compliqué celle-ci. Il s’ensuit que les frais de la cause doivent être laissés à la charge de l’Etat en application du principe général posé à l’art. 423 al. 1 CPP.</w:t>
      </w:r>
    </w:p>
    <w:p>
      <w:r>
        <w:rPr>
          <w:b/>
        </w:rPr>
        <w:t>E. 6</w:t>
      </w:r>
    </w:p>
    <w:p>
      <w:r>
        <w:t>Le prévenu conclut à la réforme du jugement en ce sens qu’il n’est le débiteur d’aucune indemnité fondée sur l’art. 433 al. 1 CPP envers le plaignant.</w:t>
      </w:r>
    </w:p>
    <w:p>
      <w:r>
        <w:rPr>
          <w:b/>
        </w:rPr>
        <w:t>E. 6.1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w:t>
      </w:r>
    </w:p>
    <w:p>
      <w:r>
        <w:rPr>
          <w:b/>
        </w:rPr>
        <w:t>E. 6.2</w:t>
      </w:r>
    </w:p>
    <w:p>
      <w:r>
        <w:t>En l’espèce, dans la mesure où le prévenu est acquitté et que les frais sont laissés à la charge de l’État, il n’y a plus de place pour une indemnité à la partie plaignante en application de l’art. 433 CPP.</w:t>
      </w:r>
    </w:p>
    <w:p>
      <w:r>
        <w:rPr>
          <w:b/>
        </w:rPr>
        <w:t>E. 7</w:t>
      </w:r>
    </w:p>
    <w:p>
      <w:r>
        <w:t>Le prévenu conclut à l’octroi d’une indemnité fondée sur l’art. 429 al. 1 let. a CPP au titre de ses frais de défense en procédure de première instance.</w:t>
      </w:r>
    </w:p>
    <w:p>
      <w:r>
        <w:rPr>
          <w:b/>
        </w:rPr>
        <w:t>E. 7.1</w:t>
      </w:r>
    </w:p>
    <w:p>
      <w:r>
        <w:t>Aux termes de l’art. 429 al. 1 CPP, si le prévenu est acquitté totalement ou en partie ou s’il bénéficie d’une ordonnance de classement, il a droit à une indemnité pour les dépenses occasionnées par l’exercice raisonnable de ses droits de procédure (let. a).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fédérale, FF 2006 1312 ch. 2.10.3.1; TF 6B_237/2016 du 18 juillet 2016 consid. 3.1). L’art. 430 al. 1 CPP dispose que l’autorité pénale peut réduire ou refuser cette indemnité notamment si le prévenu a provoqué illicitement et fautivement l’ouverture de la procédure ou a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6B_77/2013 du 4 mars 2013 consid. 2.4).</w:t>
      </w:r>
    </w:p>
    <w:p>
      <w:r>
        <w:rPr>
          <w:b/>
        </w:rPr>
        <w:t>E. 7.2</w:t>
      </w:r>
    </w:p>
    <w:p>
      <w:r>
        <w:t>En l’espèce, le prévenu est libéré et les frais sont laissés à la charge de l’Etat. Il peut donc en principe prétendre à une indemnité fondée sur l’art. 429 al. 1 let. a CPP. Le prévenu a conclu à l’allocation d’une indemnité de 40'000 francs. Il a, dans un premier temps, été assisté de Me Jaccard selon procuration signée le 31 juin 2013 (P. 8/2). Me Moinat a repris le dossier le 14 avril 2016 (P. 84). S’agissant des opérations effectuées par Me Jaccard, le prévenu a uniquement produit une note d’honoraires détaillée de 8’871 fr. 80 (P. 116). Ce montant est composé de 8’085 fr. d’honoraires pour 23 heures et 5 minutes de travail à 350 fr. de l’heure, de 32 fr. de débours, de 100 fr. de frais de dossier et de 654 fr. 80 à titre de TVA. Le tarif horaire doit être ramené à 300 fr., à savoir au tarif moyen prévu par l’art. 26a al. 3, 1 re phrase, TFIP (Tarif des frais de procédure et indemnités en matière pénale du 28 septembre 2010; RSV 312.03.1), le tarif de 350 fr. réclamé n’étant justifié par aucune circonstance particulière. Doivent donc être prises en compte, au titre de l’activité de Me Jaccard, 1385 minutes à 5 fr., soit 6’925 fr., ainsi que 132 fr., à savoir 7’057 francs. Compte tenu de la TVA à 8 %, l’indemnité se monte à 7’621 fr. 55. En ce qui concerne le mandat de Me Moinat, le prévenu a produit une note d’honoraires non détaillée de 16’686 fr. pour les opérations effectuées jusqu’au 28 mars 2017, ainsi qu’une note d’honoraires de 21'000 fr. pour celles effectuées jusqu’au 5 décembre 2017. Ces montants sont manifestement excessifs. L’acte d’accusation était en effet déjà rédigé lorsque cet avocat a été consulté. Le défenseur a ainsi uniquement dû prendre connaissance du dossier, s’entretenir avec son client, rédiger ses réquisitions en vue de l’audience, se préparer et assister à deux audiences successives qui ont duré respectivement deux heures et une heure et demie. On peine à concevoir que ces activités aient nécessité plus de 20 heures de travail au total. A 300 fr. de l’heure (art. 26a al. 3, 1 re phrase, TFIP), ces opérations représentent une somme totale de 6'000 francs. Compte tenu de la TVA à 8 %, l’indemnité se monte à 6’480 francs. Le montant total à allouer à titre d’indemnité selon l’art. 429 CPP, à la charge de l’État, s’élève ainsi à 14'101 fr. 55 (7’621 fr. 55 + 6’480 fr.).</w:t>
      </w:r>
    </w:p>
    <w:p>
      <w:r>
        <w:rPr>
          <w:b/>
        </w:rPr>
        <w:t>E. 8</w:t>
      </w:r>
    </w:p>
    <w:p>
      <w:r>
        <w:t>Enfin, une erreur dactylographique manifeste au chiffre VI du dispositif du jugement sera corrigée d’office en ce sens que toutes autres ou plus amples conclusions sont rejetées.</w:t>
      </w:r>
    </w:p>
    <w:p>
      <w:r>
        <w:rPr>
          <w:b/>
        </w:rPr>
        <w:t>E. 9</w:t>
      </w:r>
    </w:p>
    <w:p>
      <w:r>
        <w:t>Frais Vu l’issue des appels, les frais de la procédure d’appel (art. 21 al. 1 et 2 TFIP) seront mis à la charge de W.________ à raison des trois quarts, dès lors que cette partie succombe entièrement sur ses conclusions et sur celles du prévenu, et à la charge de Q.________ à raison d’un quart, sachant que ce dernier n’obtient que partiellement gain de cause (art. 428 al. 1, 1 re phrase, CPP). Q.________ a conclu à l’octroi, à la charge de W.________, d’une indemnité pour les dépenses occasionnées par l'exercice raisonnable de ses droits en procédure d’appel. L’indemnité requise doit être allouée en application de l’art. 432 CPP, applicable par renvoi de l’art. 436 al. 1 CPP. Elle sera réduite dans la même proportion que les frais d’appel, soit d’un quart. La pleine indemnité serait fondée sur une durée d’activité d’avocat de 13 heures, y compris l’audience d’appel, sur la base d’un tarif horaire de 300 fr. (art. 26a al. 3 TFIP) incluant un montant au titre de la TVA, mais débours en plus, par 100 francs. Réduit d’un quart, le montant théorique de 4'000 fr. doit ainsi être ramené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