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238 vom 19. Februar 2018</w:t>
      </w:r>
    </w:p>
    <w:p>
      <w:r>
        <w:t>VD Tribunal cantonal, 2018-02-19, FR</w:t>
      </w:r>
    </w:p>
    <w:p>
      <w:r>
        <w:rPr>
          <w:b/>
        </w:rPr>
        <w:t xml:space="preserve">Quelle: </w:t>
      </w:r>
      <w:r>
        <w:t>https://mcp.opencaselaw.ch/entscheid/vd_findinfo_Jug___2018___238</w:t>
      </w:r>
    </w:p>
    <w:p>
      <w:r>
        <w:t>FR: VD_FINDINFO Jug / 2018 / 238 du 19 février 2018</w:t>
      </w:r>
    </w:p>
    <w:p>
      <w:r>
        <w:t>IT: VD_FINDINFO Jug / 2018 / 238 del 19 febbraio 2018</w:t>
      </w:r>
    </w:p>
    <w:p>
      <w:pPr>
        <w:pStyle w:val="Heading2"/>
      </w:pPr>
      <w:r>
        <w:t>Regeste</w:t>
      </w:r>
    </w:p>
    <w:p>
      <w:r>
        <w:t>SURSIS À L'EXÉCUTION DE LA PEINE, PRONOSTIC, LIBÉRATION CONDITIONNELLE, RÉVOCATION{EN GÉNÉRAL}, CONTRAINTE SEXUELLE, LOI FÉDÉRALE SUR LES STUPÉFIANTS ET LES SUBSTANCES PSYCHOTROPES, FIXATION DE LA PEINE, PEINE D'ENSEMBLE, PEINE COMPLÉMENTAIRE, RESPONSABILITÉ RESTREINTE{DROIT PÉNAL} | 189 CP, 19 al. 2 CP, 42 al. 2 CP, 42 CP, 47 CP, 49 al. 2 CP, 89 al. 6 CP, 89 CP, 19a ch. 1 LStup</w:t>
      </w:r>
    </w:p>
    <w:p>
      <w:pPr>
        <w:pStyle w:val="Heading2"/>
      </w:pPr>
      <w:r>
        <w:t>Erwägungen</w:t>
      </w:r>
    </w:p>
    <w:p>
      <w:r>
        <w:rPr>
          <w:b/>
        </w:rPr>
        <w:t>E. 1</w:t>
      </w:r>
    </w:p>
    <w:p>
      <w:r>
        <w:t>Interjeté dans les formes et délais légaux (art. 399 CPP [Code de procédure pénale suisse du 5 octobre 2007 ; RS 312.0]) par une partie ayant la qualité pour recourir contre le jugement d'un tribunal de première instance ayant clos la procédure (art. 398 al. 1 CPP), l'appel de Z.________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6B_1387/2017 du 26 avril 2018 consid. 1.1).</w:t>
      </w:r>
    </w:p>
    <w:p>
      <w:r>
        <w:rPr>
          <w:b/>
        </w:rPr>
        <w:t>E. 3</w:t>
      </w:r>
    </w:p>
    <w:p>
      <w:r>
        <w:t>Le Ministère public reproche aux premiers juges d’avoir octroyé un sursis complet à l’intimé. Il soutient que non seulement le pronostic n’est pas particulièrement favorable, mais qu’il est même clairement défavorable.</w:t>
      </w:r>
    </w:p>
    <w:p>
      <w:r>
        <w:rPr>
          <w:b/>
        </w:rPr>
        <w:t>E. 3.1.1</w:t>
      </w:r>
    </w:p>
    <w:p>
      <w:r>
        <w:t>Aux termes de l’art. 42 CP,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L’art. 42 CP a été modifié avec effet au 1 er janvier 2018 (cf. RO 2016 1249).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La disposition transitoire de la modification du 19 juin 2015 prévoit qu’il ne peut y avoir de sursis à l’exécution d’une peine (art. 42 al. 1 CP) qu’en cas de circonstances particulièrement favorables si, durant les cinq ans qui précèdent l’infraction, l’auteur a été condamné à une peine pécuniaire de plus de 180 jours-amende en vertu de l’ancien droit. En l’espèce, l’application de l’ancien ou du nouveau droit ne conduit pas à un résultat différent, dès lors que, l’intimé ayant été notamment condamné en 2014 à une peine privative de liberté, le sursis à l’exécution de la peine ne peut en principe lui être accordé qu’en présence de circonstances particulièrement favorables. Partant, une application de l’art. 42 al. 1 et 2 CP dans sa teneur au 1 er janvier 2018 ne saurait entrer en considération en vertu du principe de la lex mitior (cf. art. 2 al. 2 CP ; TF 6B_42/2018 du 17 mai 2018 consid. 1.1 ; TF 6B_658/2017 du 30 janvier 2018 consid. 1.1).</w:t>
      </w:r>
    </w:p>
    <w:p>
      <w:r>
        <w:rPr>
          <w:b/>
        </w:rPr>
        <w:t>E. 3.1.2</w:t>
      </w:r>
    </w:p>
    <w:p>
      <w:r>
        <w:t>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juge dispose d’un large pouvoir d’appréciation dans l’émission du pronostic. Le Tribunal fédéral n’intervient que s’il en a abusé, notamment lorsqu’il a omis de tenir compte de critères pertinents et s’est fondé exclusivement sur les antécédents du condamné (ATF 134 IV 140 consid. 4.2 ; ATF 133 IV 201 consid. 2.3 ; TF 6B_42/2018 précité consid. 1.2 ; TF 6B_658/2017 précité consid. 1.2). Dans l’hypothèse de l’art. 42 al. 2 CP,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si les conditions de vie du condamné se sont modifiées de manière particulièrement positive (ATF 134 IV 1 consid. 4.2.3 ; TF 6B_42/2018 précité consid. 1.2 ; TF 6B_227/2017 du 25 octobre 2017 consid. 4.2). Cela étant posé,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(TF 6B_42/2018 précité consid. 1.2 ; TF 6B_869/2016 du 1 er juin 2017 consid. 4.2 ; TF 6B_510/2010 du 4 octobre 2010 consid. 1.2.2). De vagues espoirs quant à la conduite future du délinquant ne suffisent pas pour poser un pronostic favorable. Une nouvelle infraction commise dans le même domaine qu’une précédente infraction, alors sanctionnée par une peine assortie du sursis, constitue à elle seule un motif de prévision défavorable (ATF 115 IV 81 consid. 2a ; ATF 105 IV 225 consid. 2, JdT 1980 I 456).</w:t>
      </w:r>
    </w:p>
    <w:p>
      <w:r>
        <w:rPr>
          <w:b/>
        </w:rPr>
        <w:t>E. 3.2</w:t>
      </w:r>
    </w:p>
    <w:p>
      <w:r>
        <w:t>En l’espèce et comme rappelé ci-dessus, dans la mesure où l’intimé a été condamné à une peine privative de liberté de 15 mois le 21 octobre 2014, un sursis ne serait envisageable qu’en cas de circonstances particulièrement favorables au sens de l’art. 42 al. 2 CP. A cet égard, les premiers juges ont tout d’abord relevé qu’au vu du passé de l’intimé, la situation avait de quoi inquiéter. Ils ont toutefois considéré qu’un déclic s’était produit chez l’intimé, étroitement lié à l’arrivée dans sa vie de sa compagne en 2015, qu’il avait expliqué faire un travail sur lui-même, qu’il portait un regard lucide et critique sur ses actes, que ses aveux spontanés semblaient s’inscrire dans ce processus de prise de conscience et dénoter une volonté de solder ses comptes avec la justice, qu’il avait affirmé ne plus consommer ni alcool ni stupéfiant depuis le mois de janvier 2017, qu’il voyait un psychologue depuis plus d’une année, qu’il avait fait part de sa motivation pour se réinsérer professionnellement, que l’intimé apparaissait en définitive s’être réellement repris en main dans le cadre d’un processus de reconstruction et de changement et que cette évolution positive avait été confirmée par sa compagne. Le tribunal en a conclu qu’il existait en l’occurrence des circonstances particulièrement favorables commandant d’assortir la peine privative de liberté prononcée du sursis. Cette appréciation ne saurait être suivie. En effet, l’intimé est un multirécidiviste. Il a ainsi été condamné à pas moins de neuf reprises entre 2008 et 2017 et cela dans des domaines aussi divers et variés que des infractions contre le patrimoine, des infractions à la loi sur la circulation routière et contre l’intégrité sexuelle. L’intimé a ainsi très clairement démontré son mépris absolu de l’ordre juridique dans son ensemble et du droit à l’intégrité sexuelle en particulier, ainsi que sa totale incapacité à tirer le moindre enseignement des sanctions prononcées à son encontre. Il n’a par ailleurs su saisir aucune des chances qui lui ont été données au cours de ses différents démêlés judiciaires. C’est ainsi qu’il a notamment mis en échec le traitement institutionnel des addictions qui avait été ordonné le 21 octobre 2014 par le Tribunal correctionnel de l’arrondissement de Lausanne, qui a finalement dû être levé par le juge d’application des peines le 15 octobre 2015 (P. 16). L’intimé a en outre récidivé dans le délai d’épreuve qui lui avait été imparti par ce même juge, en commettant qui plus est une contrainte sexuelle, soit une infraction relevant du même domaine que celle sanctionnée précédemment. La prise de conscience ainsi que la volonté de changement longuement exprimées aux débats de première instance par l’intimé et confirmées par son amie ne sont pas nouvelles. Dans son ordonnance du 15 octobre 2015, le juge d’application des peines avait déjà cru pouvoir constater que l’intimé semblait avoir pris en maturité, être conscient des actes qu’il avait pu commettre par le passé et de l’influence de ses consommations abusives, être désormais abstinent et sembler véritablement vouloir s’éloigner de son passé pour se construire un nouvel avenir (P. 16). Or, l’intimé a récidivé moins d’une année après avoir été libéré conditionnellement. Même le soutien de sa compagne, avec laquelle il nourrissait des projets de mariage, n’a pas constitué un rempart suffisant pour empêcher l’intimé de s’en prendre à l’intégrité sexuelle d’autrui en juillet 2016. Son amie s’est par ailleurs éloignée de lui depuis les débats de première instance et leurs projets futurs sont devenus très flous. Enfin, si les démarches entreprises par l’intimé pour mettre en œuvre les mesures d’intervention précoce de l’Office d’assurance invalidité peuvent être saluées, celles-ci n’ont pas encore pu être menées à leur terme et l’intimé n’a, à ce jour, toujours pas d’emploi et émarge encore aux services sociaux. Ses projets professionnels restent pour l’instant relativement flous, notamment en raison de ses problèmes de santé. Les projets évoqués n’ont par ailleurs rien de rassurant, dans la mesure où il s’agirait d’une activité de masseur (jugement du 19 février 2018, p. 8) ce qui, au vu des infractions reprochées à l’intimé, est clairement problématique. Au vu de ce qui précède, force est de constater qu’il n’existe pas de circonstances particulièrement favorables au sens de l’art. 42 al. 2 CP, de sorte que c’est à tort que les premiers juges ont accordé le sursis à l’intimé, seule une peine ferme pouvant être prononcée.</w:t>
      </w:r>
    </w:p>
    <w:p>
      <w:r>
        <w:rPr>
          <w:b/>
        </w:rPr>
        <w:t>E. 4</w:t>
      </w:r>
    </w:p>
    <w:p>
      <w:r>
        <w:t>Le Ministère public reproche également aux premiers juges d’avoir renoncé à révoquer la libération conditionnelle accordée à l’intimé par le juge d’application des peines le 15 octobre 2015.</w:t>
      </w:r>
    </w:p>
    <w:p>
      <w:r>
        <w:rPr>
          <w:b/>
        </w:rPr>
        <w:t>E. 4.1</w:t>
      </w:r>
    </w:p>
    <w:p>
      <w:r>
        <w:t>Si, durant le délai d’épreuve, le détenu libéré conditionnellement commet un crime ou un délit, le juge qui connaît de la nouvelle infraction ordonne sa réintégration dans l’établissement (art. 89 al. 1 CP). Si, malgré le crime ou le délit commis pendant le délai d’épreuve, il n’y a pas lieu de craindre que le condamné ne commette de nouvelles infractions, le juge renonce à la réintégration (art. 89 al. 2, 1 re phrase CP). Il peut adresser un avertissement au condamné et prolonger le délai d’épreuve de la moitié au plus de la durée fixée à l’origine par l’autorité compétente (art. 89 al. 2, 2 e phrase CP). La nouvelle infraction doit revêtir une certaine gravité, à savoir être passible d’une peine privative de liberté ou d’une peine pécuniaire (cf. art. 10 CP). La commission d’un crime ou d’un délit n’entraîne toutefois pas obligatoirement la révocation de la libération conditionnelle. Selon l’art. 89 al. 2 CP, le juge renoncera à la réintégration s’il n’y a pas lieu de craindre que le condamné ne commette de nouvelles infractions. Par sa nature même, le pronostic à émettre ne saurait être tout à fait sûr ; il doit suffire de pouvoir raisonnablement admettre que le détenu ne commettra pas de nouvelles infractions (TF 6B_623/2017 du 28 novembre 2017 consid. 2.1 ; TF 6B_663/2009 du 19 octobre 2009 consid. 1.2 ; TF 6B_303/2007 du 6 décembre 2007 consid. 6 ; cf. ATF 98 Ib 106 consid. 1b).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(TF 6B_663/2009 précité).</w:t>
      </w:r>
    </w:p>
    <w:p>
      <w:r>
        <w:rPr>
          <w:b/>
        </w:rPr>
        <w:t>E. 4.2</w:t>
      </w:r>
    </w:p>
    <w:p>
      <w:r>
        <w:t>En l’espèce, l’intimé s’est notamment rendu coupable de contrainte sexuelle (art. 189 al. 1 CP). Il s’agit d’un crime (art. 10 al. 2 CP). L’infraction a été commise le 31 juillet 2016, soit dans le délai d’épreuve d’un an imparti par le juge d’application des peines dans sa décision du 15 octobre 2015. Le pronostic est défavorable au vu des éléments exposés plus haut. Il se justifie dès lors de révoquer la libération conditionnelle octroyée par le juge d’application des peines.</w:t>
      </w:r>
    </w:p>
    <w:p>
      <w:r>
        <w:rPr>
          <w:b/>
        </w:rPr>
        <w:t>E. 5</w:t>
      </w:r>
    </w:p>
    <w:p>
      <w:r>
        <w:t>Il convient dès lors d’examiner la question de la peine prononcée.</w:t>
      </w:r>
    </w:p>
    <w:p>
      <w:r>
        <w:rPr>
          <w:b/>
        </w:rPr>
        <w:t>E. 5.1</w:t>
      </w:r>
    </w:p>
    <w:p>
      <w:r>
        <w:t>Selon l’art. 89 al. 6, 1 re phrase CP, si, en raison d’une nouvelle infraction, les conditions d’une peine privative de liberté ferme sont réunies et que celle-ci entre en concours avec le solde d’une peine devenu exécutoire à la suite de la révocation de la libération conditionnelle, le juge prononce, en vertu de l’art. 49 CP, une peine d’ensemble. Le juge doit ainsi fixer la peine conformément au principe de l’absorption (Asperationsprinzip), par opposition au principe du cumul (Kumulationsprinzip) ; concrètement, il doit partir de la quotité de la peine réprimant l’infraction commise durant le délai d’épreuve, prononcée selon l’art. 47 CP, pour l’accroître à la mesure du solde de peine restant à purger pour aboutir à une peine d’ensemble fixée rétrospectivement en application de l’art. 49 CP (ATF 135 IV 146 consid. 2.4.1).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5.3 ; ATF 134 IV 17 consid. 2.1 ; ATF 129 IV 6 consid. 6.1). Les principes qui président à la fixation de la peine en cas de diminution de la responsabilité (art. 19 al. 2 CP) ont été développés dans l’arrêt publié aux ATF 136 IV 55 : une diminution de la responsabilité au sens de cette disposition conduit à une diminution de la faute et non de la peine. La réduction de celle-ci n’est que la conséquence de la faute plus légère (consid. 5.5, pp. 59 s.).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de diminution moyenne et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portée trop importante. Le Tribunal fédéral a en effet jugé que la réduction purement mathématique d’une peine hypothétique, comme le permettait l’ancienne jurisprudence, était contraire au système, restreignait de manière inadmissible le pouvoir d’appréciation du juge et conduisait à accorder un poids trop important à la diminution de la capacité cognitive ou volitive telle qu’elle a été constatée par l’expert (consid. 5.6, pp. 60 ss).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ainsi qu’en raison d’une éventuelle tentative selon l’art. 22 al. 1 CP (consid. 5.7, pp. 62 s. ; TF 6B_975/2015 du 7 avril 2016 consid. 6.1).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142 IV 329 consid. 1.4.1 ; ATF 142 IV 265 consid. 2.3.3). L’auteur qui encourt plusieurs peines du même genre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précité ; ATF 141 IV 61 consid. 6.1.2). En présence d’un concours rétrospectif, le juge doit exceptionnellement exposer au moyen de chiffres comment il a fixé la peine qu’il prononce (ATF 142 IV 265 précité ; ATF 132 IV 102 consid. 8.3).</w:t>
      </w:r>
    </w:p>
    <w:p>
      <w:r>
        <w:rPr>
          <w:b/>
        </w:rPr>
        <w:t>E. 5.2</w:t>
      </w:r>
    </w:p>
    <w:p>
      <w:r>
        <w:t>En l’espèce, la Cour de céans retient, à l’instar des premiers juges, que les faits concernés sont graves, spécifiquement au regard de l’importance du bien juridique protégé, soit la libre détermination en matière sexuelle et le droit à l’intégrité sexuelle. L’intimé a agi par pur mobile égoïste, soit dans le but de satisfaire ses pulsions, en faisant fi de l’impact de ses agissements sur sa victime, qui reste aujourd’hui encore marquée par les événements. Il faut également tenir compte des nombreux antécédents de l’intéressé, dont l’un concerne spécifiquement un cas semblable de contrainte sexuelle en 2014 et du fait qu’il a commis de nouveaux actes à peine sorti de prison en octobre 2015. La culpabilité de l’intimé est donc manifestement lourde. Elle ne sera toutefois qualifiée que de moyennement lourde compte tenu de la légère diminution de responsabilité liée à un fonctionnement intellectuel de niveau limite, attestée par les experts dans leurs rapports des 12 mars et 8 mai 2014 (P. 8/1, p. 6 et 8/2, p. 3). A décharge, la Cour de céans prend en considération, tout comme les premiers juges, les regrets manifestés et les excuses présentées en cours d’enquête ainsi qu’aux débats de première et deuxième instance, qui ont paru sincères. La bonne collaboration de l’intimé sera également retenue. Au vu du passé judiciaire de l’intimé, une peine privative de liberté s’impose pour sanctionner la contrainte sexuelle. Il faut dès lors tenir compte du fait que le Ministère public de l’arrondissement de Lausanne a, par ordonnance pénale du 3 mars 2017, soit postérieurement aux faits de la présente cause, condamné l’intimé pour violation simple des règles de la circulation routière et conduite d’un véhicule automobile sans permis de conduire à une peine privative de liberté de 60 jours notamment (P. 18). On admettra que si toutes les infractions avaient été jugées ensemble, c’est une peine privative de liberté de 12 mois qui aurait été prononcée. Une peine complémentaire de 10 mois se justifie dès lors dans le cadre de la présente affaire. Cette peine de 10 mois doit encore être augmentée pour tenir compte du solde de 5 mois et 12 jours à exécuter en raison de la révocation de la libération conditionnelle. Ainsi, en définitive, c’est une peine d’ensemble de 14 mois, complémentaire à celle infligée par le Ministère public de l’arrondissement de Lausanne le 3 mars 2017, qui doit être prononcée. La peine d’amende prononcée pour sanctionner la contravention à la loi fédérale sur les stupéfiants, d’un montant de 300 fr., est adéquate et doit être confirmée.</w:t>
      </w:r>
    </w:p>
    <w:p>
      <w:r>
        <w:rPr>
          <w:b/>
        </w:rPr>
        <w:t>E. 6</w:t>
      </w:r>
    </w:p>
    <w:p>
      <w:r>
        <w:t>En définitive, l’appel du Ministère public doit être admis et le jugement entrepris réformé dans le sens des considérants qui précèdent, ledit jugement étant maintenu pour le surplus. La liste des opérations produite par Me Samuel Pahud, défenseur d’office de Z.________, fait état de 9.6 heures d’activité d’avocat, dont 3.75 heures pour l’étude du dossier et la préparation de l’audience d’appel et 1.25 heure pour l’audience d’appel et un bref entretien avec son client, ainsi que de débours à hauteur de 134 fr. 65, vacation comprise. Dans la mesure où le défenseur d’office avait déjà acquis une parfaite connaissance du dossier en première instance, le temps allégué apparaît légèrement excessif. Le temps consacré à l’étude du dossier et à la préparation de l’audience d’appel doit ainsi être réduit à 3.4 heures et il doit être tenu compte du temps effectif de l’audience d’appel, qui a duré moins d’une heure. Il convient par conséquent de retenir 9 heures d’activité d’avocat au tarif horaire de 180 fr. et de fixer l’indemnité de défenseur d’office de Me Samuel Pahud pour la procédure d’appel à 1'889 fr. 75 (1’620 fr. [honoraires] + 120 fr. [vacation] + 14 fr. 65 [débours] + 135 fr. 10 [TVA]). Vu l’issue de la cause, les frais de la procédure d’appel, comprenant l’émolument de jugement par 2’050 fr. (art. 21 al. 1 et 2 TFIP [Tarif des frais de procédure et indemnités en matière pénale du 28 septembre 2010 ; RSV 312.03.1]), ainsi que l’indemnité de 1'889 fr. 75 allouée à Me Samuel Pahud, soit au total 3'939 fr. 75, seront mis à la charge de Z.________, qui succombe dès lors qu’il a conclu au rejet de l’appel (art. 428 al. 1 CPP). Z.________ ne sera tenu de rembourser à l'Etat le montant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