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231 vom 1. November 2016</w:t>
      </w:r>
    </w:p>
    <w:p>
      <w:r>
        <w:t>VD Tribunal cantonal, 2016-11-01, FR</w:t>
      </w:r>
    </w:p>
    <w:p>
      <w:r>
        <w:rPr>
          <w:b/>
        </w:rPr>
        <w:t xml:space="preserve">Quelle: </w:t>
      </w:r>
      <w:r>
        <w:t>https://mcp.opencaselaw.ch/entscheid/vd_findinfo_Jug___2018___231</w:t>
      </w:r>
    </w:p>
    <w:p>
      <w:r>
        <w:t>FR: VD_FINDINFO Jug / 2018 / 231 du 1 novembre 2016</w:t>
      </w:r>
    </w:p>
    <w:p>
      <w:r>
        <w:t>IT: VD_FINDINFO Jug / 2018 / 231 del 1 novembre 2016</w:t>
      </w:r>
    </w:p>
    <w:p>
      <w:pPr>
        <w:pStyle w:val="Heading2"/>
      </w:pPr>
      <w:r>
        <w:t>Regeste</w:t>
      </w:r>
    </w:p>
    <w:p>
      <w:r>
        <w:t>FIXATION DE LA PEINE, PRONOSTIC, CONTRAINTE SEXUELLE, SURSIS À L'EXÉCUTION DE LA PEINE, ADMISSION DE LA DEMANDE | 42 al. 1 CP, 43 al. 1 CP, 44 al. 1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Le Tribunal fédéral a considéré que la cour cantonale, en retenant un pronostic mitigé, s'était écartée de l'expertise psychiatrique sans justifier les motifs propres à s'en distancier comme l'exige pourtant la jurisprudence. Elle n'expliquait notamment pas ce qui l'avait amené à considérer que le prévenu présentait des comportements manipulateurs et un discours centré sur lui-même. En outre, la contestation des infractions de contrainte sexuelle ne serait plus pertinente, puisque ces infractions n'étaient plus contestées devant le Tribunal fédéral. Enfin, compte tenu du temps écoulé depuis le rapport d'expertise, un complément d'expertise actualisé apparaissait nécessaire pour poser un pronostic. Pour ces motifs, le Tribunal fédéral a renvoyé la cause à la cour de céans, afin qu'elle rende une nouvelle décision sur le sursis.</w:t>
      </w:r>
    </w:p>
    <w:p>
      <w:r>
        <w:rPr>
          <w:b/>
        </w:rPr>
        <w:t>E. 2.2</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w:t>
      </w:r>
    </w:p>
    <w:p>
      <w:r>
        <w:rPr>
          <w:b/>
        </w:rPr>
        <w:t>E. 2.3</w:t>
      </w:r>
    </w:p>
    <w:p>
      <w:r>
        <w:t>On peut s’étonner que le Tribunal fédéral ait considéré que la cour cantonale s’était écartée de l’expertise psychiatrique, puisque le pronostic des art. 42 et 43 CP repose sur une appréciation d’ensemble, tenant compte des circonstances de l’infraction, des antécédents de l’auteur, de sa réputation et de sa situation personnelle au moment du jugement, notamment de l’état d’esprit qu’il manifeste. Il s’agit donc d’éléments plus larges que ceux portant sur l’évaluation du risque de récidive par l’expert psychiatre. Cela étant, les experts ont relevé ce qui suit : « l’expertisé semble reconnaître le caractère de gravité des actes, semble se remettre en question, il exprime des remords et de la culpabilité. Par ailleurs, il dévoile une personnalité loyale et morale (…) et nous pouvons supposer que son parcours de délinquant ne persistera pas, ses projets d’avenir visent plutôt une intégration professionnelle réussie, gage d’une réinsertion positive. Aussi le risque de récidive apparaît minime » (expertise, pp. 9 et 10). Les experts proposent également une prise en charge de type ambulatoire lui apportant une assise psychologique lui permettant d’accepter son orientation sexuelle. De son côté la cour cantonale a émis une appréciation quelque peu différente, considérant d’abord que la prise de conscience n’était pas complète. Ce constat ne s’oppose toutefois pas à celui des experts qui relèvent que le prévenu semble se remettre en question et reconnaître le caractère de gravité de ses actes, mais également que le prévenu est replié sur lui-même et n’a pas la capacité de faire une demande de soins (expertise, p. 11). Pour justifier d’une prise de conscience partielle, la cour de céans s’est fondée sur la contestation des infractions de contrainte sexuelle, qui révélaient la part la plus sombre de l’activité délictueuse. Le fait que ces infractions ne soient plus contestées devant le Tribunal fédéral n’est pas déterminant : c’est le constat au moment du jugement par l’autorité qui effectue le pronostic qui l’est et le fait de ne pas soulever de griefs à ce sujet devant le Tribunal fédéral ne signifie pas encore que les faits de contrainte soient admis. Le Tribunal fédéral reproche encore à la cour cantonale de n'avoir pas expliqué ce qui l'a amené à considérer que le prévenu présentait des comportements manipulateurs et un discours centré sur lui-même. On relèvera que le prévenu a beaucoup insisté sur ses propres difficultés à l'audience d'appel du 7 mars 2017. Il avait aussi menti aux experts, manifestement dans le but d'obtenir de ceux-ci des conclusions favorables. En effet, alors que le nombre de ses victimes s'élevait à huit mineurs et qu'il contestait encore les infractions de contrainte sexuelle, le prévenu a déclaré devant les experts qu'il ne contestait pas les faits et qu'il avait commis des actes d'ordre sexuel sur deux garçons seulement (P. 64, p. 2). Au vu de l'état d'esprit qu'il présentait au moment du jugement du 7 mars 2017, c’était à juste titre que la cour de céans avait posé un pronostic mitigé. Cela étant, à la date du présent jugement, il n’y a plus suffisamment d’éléments pour retenir un tel pronostic. L’appelant ne conteste plus aujourd’hui avoir contraint des victimes à des actes d’ordre sexuel. Toujours selon ses déclarations, il a décidé de parler à son thérapeute de tous les aspects de son comportement délictueux, dans le but de faire face à l’intégralité de sa responsabilité pénale sans faire abstraction de ce qui s’était passé. Auparavant, il avait tu l'existence des infractions de contrainte sexuelle, car il préférait se voiler la face (cf. ses déclarations à l’audience du 13 juin 2018). En outre, on ne saurait prendre en considération la condamnation de l’appelant le 14 décembre 2007 par le Président du Tribunal des mineurs pour actes d’ordre sexuel avec des enfants et pornographie (cf. expertise, p. 4), parce qu’elle ne figure plus au casier judiciaire. Les condamnations qui ont été éliminées du casier judiciaire ne peuvent en effet plus être utilisées pour l'appré­ciation de l'octroi du sursis dans le cadre d'une nouvelle procédure pénale (ATF 135 IV 87 consid. 2.3). Enfin, les derniers faits délictueux remontent à six ans et l’appelant n’a plus fait parler de lui depuis. Le pronostic n’étant pas défavorable au sens de l’art. 42 CP, un sursis complet, avec un délai d’épreuve de 2 ans (art. 44 al. 1 CP), peut être accordé à l’appelant.</w:t>
      </w:r>
    </w:p>
    <w:p>
      <w:r>
        <w:rPr>
          <w:b/>
        </w:rPr>
        <w:t>E. 3</w:t>
      </w:r>
    </w:p>
    <w:p>
      <w:r>
        <w:t>En définitive, l’appelant obtient entièrement gain de cause, de sorte que son appel doit être admis et le jugement du Tribunal correctionnel modifié en ce sens. L'examen du pronostic favorable se présente différemment après le jugement du 7 mars 2017, en raison de l'admission de l'ensemble des infractions en dernière instance seulement. Dès lors, il se justifie de mettre un quart des frais du jugement rendu le 7 mars 2017, soit par 1'591 fr. 65, y compris l’indemnité du défenseur d’office, à la charge de l’appelant et de laisser le solde à la charge de l’Etat. L’appelant ne sera tenu de rembourser à l’Etat le quart de l'indemnité d’office mis à sa charge que lorsque sa situation financière le permettra (art. 135 al. 4 CPP). Le sort de l’appel étant modifié après l’arrêt de renvoi du Tribunal fédéral, il se justifie de laisser à la charge de l’Etat les frais d'appel postérieurs à l’arrêt de renvoi, y compris l'indemnité allouée au défenseur d’office de l’appelant. Sur la base de la liste des opérations produite, une indemnité d'un montant de 1'294 fr. 55 est allouée à Me Mathias Keller. Ce montant correspond à 1'080 fr. d’honoraires (6 heures de travail x 180 fr.), à une vacation à 120 fr., à 2 francs pour les débours et à 92 fr. 55 pour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