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168 vom 9. November 2017</w:t>
      </w:r>
    </w:p>
    <w:p>
      <w:r>
        <w:t>VD Tribunal cantonal, 2017-11-09, FR</w:t>
      </w:r>
    </w:p>
    <w:p>
      <w:r>
        <w:rPr>
          <w:b/>
        </w:rPr>
        <w:t xml:space="preserve">Quelle: </w:t>
      </w:r>
      <w:r>
        <w:t>https://mcp.opencaselaw.ch/entscheid/vd_findinfo_Jug___2018___168</w:t>
      </w:r>
    </w:p>
    <w:p>
      <w:r>
        <w:t>FR: VD_FINDINFO Jug / 2018 / 168 du 9 novembre 2017</w:t>
      </w:r>
    </w:p>
    <w:p>
      <w:r>
        <w:t>IT: VD_FINDINFO Jug / 2018 / 168 del 9 novembre 2017</w:t>
      </w:r>
    </w:p>
    <w:p>
      <w:pPr>
        <w:pStyle w:val="Heading2"/>
      </w:pPr>
      <w:r>
        <w:t>Regeste</w:t>
      </w:r>
    </w:p>
    <w:p>
      <w:r>
        <w:t>SÉJOUR ILLÉGAL, FIXATION DE LA PEINE, PEINE PÉCUNIAIRE | 34 CP, 41 CP, 47 CP, 115 al. 1 let. b LEtr</w:t>
      </w:r>
    </w:p>
    <w:p>
      <w:pPr>
        <w:pStyle w:val="Heading2"/>
      </w:pPr>
      <w:r>
        <w:t>Erwägungen</w:t>
      </w:r>
    </w:p>
    <w:p>
      <w:r>
        <w:rPr>
          <w:b/>
        </w:rPr>
        <w:t>E. 1</w:t>
      </w:r>
    </w:p>
    <w:p>
      <w:r>
        <w:t>CPP), l’appel de G.________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requiert qu’une peine pécuniaire, fixée à dire de justice, lui soit infligée en lieu et place d’une peine privative de liberté. En substance, il fait valoir que sa mère serait en mesure de se porter fort du règlement de la peine pécuniaire et qu'il ne constituerait nullement un danger pour la sécurité publique.</w:t>
      </w:r>
    </w:p>
    <w:p>
      <w:r>
        <w:rPr>
          <w:b/>
        </w:rPr>
        <w:t>E. 3.1.1</w:t>
      </w:r>
    </w:p>
    <w:p>
      <w:r>
        <w:t>L'art. 115 al. 1 LEtr punit d'une peine privative de liberté d'un an au plus ou d'une peine pécuniaire quiconque (let. b) séjourne illégalement en Suisse, notamment après l'expiration de la durée du séjour non soumis à autorisation ou du séjour autorisé ou (let. c) exerce une activité lucrative sans autorisation. Le séjour en Suisse est légal si l'étranger est autorisé à rester en Suisse à titre individuel ou si une prescription légale autorise sa présence en Suisse. L'étranger qui n'exerce pas d'activité lucrative peut séjourner en Suisse sans autorisation pendant trois mois (cf. art. 10 al. 1 LEtr), alors qu'il doit solliciter une autorisation en cas d'activité lucrative, quelle que soit la durée de son séjour (cf. art. 11 al. 1 LEtr).</w:t>
      </w:r>
    </w:p>
    <w:p>
      <w:r>
        <w:rPr>
          <w:b/>
        </w:rPr>
        <w:t>E. 3.1.2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3.2</w:t>
      </w:r>
    </w:p>
    <w:p>
      <w:r>
        <w:t>En l'espèce, la durée du séjour illégal, qui n'est pas contestée en appel, s'étend d'octobre 2015 à juillet 2016. Le prévenu, qui avait obtenu un permis de trois mois pour venir en Suisse lors de la naissance de son enfant, est resté en Suisse après l'échéance de ce délai. Dans ces circonstances, une peine de 80 jours paraît proportionnée à la faute commise, qui est de gravité relative.</w:t>
      </w:r>
    </w:p>
    <w:p>
      <w:r>
        <w:rPr>
          <w:b/>
        </w:rPr>
        <w:t>E. 3.3</w:t>
      </w:r>
    </w:p>
    <w:p>
      <w:r>
        <w:t>Il reste à déterminer quel genre de peine prononcer, à la lumière des dispositions du droit des sanctions en vigueur jusqu'au 31 décembre 2017.</w:t>
      </w:r>
    </w:p>
    <w:p>
      <w:r>
        <w:rPr>
          <w:b/>
        </w:rPr>
        <w:t>E. 3.3.1</w:t>
      </w:r>
    </w:p>
    <w:p>
      <w:r>
        <w:t>Aux termes de l'art. 41 al. 1 aCP, le juge peut prononcer une peine privative de liberté ferme de moins de six mois uniquement si les conditions du sursis à l'exécution de la peine (art. 42 aCP) ne sont pas réunies et s'il y a lieu d'admettre que ni une peine pécuniaire (art. 34 aCP), ni un travail d'intérêt général (art. 37 aCP) ne peuvent être exécutés. Cette disposition est applicable en l'espèce sans égard au nouveau droit des sanctions entré en vigueur le 1 er janvier 2018, qui n’est pas plus favorable à l'intéressé (cf. art. 2 al. 2 CP ; TF 6B_887/2017 du 8 mars 2018 consid. 4.1 ; 6B_341/2017 du 23 janvier 2018 consid. 1.1). En vertu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(ATF 134 IV 1 consid. 4.2.2 ; TF 6B_492/2008 du 19 mai 2009 consid. 3.1.2). 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Lorsque des motifs de prévention spéciale permettent de considérer qu'une peine pécuniaire ou une peine de travail d'intérêt général seraient d'emblée inadaptées, l'autorité peut prononcer une peine privative de liberté de courte durée (TF 6B_887/2017 du 8 mars 2018 consid. 4.2 ; 6B_341/2017 du 23 janvier 2018 consid. 1.1). Une peine pécuniaire, qui atteint l'intéressé dans son patrimoine, constitue une sanction plus clémente qu'une peine privative de liberté, qui l'atteint dans sa liberté personnelle. Le sens et le but de la peine pécuniaire ne se résument toutefois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d'événements imprévisibles, il n'y a cependant pas place pour une peine pécuniaire qui ne puisse être acquittée (ATF 134 IV 97 consid. 5.2.3).</w:t>
      </w:r>
    </w:p>
    <w:p>
      <w:r>
        <w:rPr>
          <w:b/>
        </w:rPr>
        <w:t>E. 3.3.2</w:t>
      </w:r>
    </w:p>
    <w:p>
      <w:r>
        <w:t>En l'espèce, les conditions du sursis ne sont pas remplies. Le prévenu a en effet enfreint les dispositions du droit des étrangers juste après sa libération et on ne saurait considérer, au vu de ses antécédents et du fait qu’il a persisté à séjourner en Suisse, que le pronostic est favorable, même si la récidive a trait à un tout autre domaine d'infractions que celles précédemment commises. Quand bien même l'on peut comprendre l'envie de l'appelant d'être proche de ses enfants, il aurait aussi pu demander le regroupement familial depuis l'étranger, une fois son permis de séjour de trois mois échu. Cependant, contrairement au premier juge, il y a lieu de considérer qu'une peine de détention n'est pas proportionnée dans le cas particulier, dès lors que le prévenu, qui n'a certes pas de revenu, bénéficie de l'aide de ses proches et a entrepris des démarches pour légaliser son statut au regard du droit des étrangers. Il a par ailleurs une formation professionnelle et il est en bonne santé, de sorte qu'il devrait pouvoir trouver du travail à l'étranger ou en Suisse. En outre, la présente infraction n'a aucun lien avec les infractions bien plus graves qui l’ont conduit en détention en 2007 et 2010, de sorte qu'on ne saurait conclure des périodes de détention déjà subies que seul ce genre de peine doit être prononcé. Enfin, un travail d'intérêt général ne saurait être prononcé au vu de l'absence de permis de travail. Le grief de l’appelant est donc bien fondé, une peine pécuniaire apparaissant plus adéquate qu’une peine privative de liberté pour sanctionner son comportement fautif. Au vu de son absence de revenu et du fait qu'il a deux enfants, le montant du jour-amende sera arrêté à 10 francs.</w:t>
      </w:r>
    </w:p>
    <w:p>
      <w:r>
        <w:rPr>
          <w:b/>
        </w:rPr>
        <w:t>E. 4</w:t>
      </w:r>
    </w:p>
    <w:p>
      <w:r>
        <w:t>En définitive, l’appel de G.________ doit être admis et le jugement du 9 novembre 2017 modifié dans le sens du considérant qui précède. Vu l'issue de la cause, les frais de la procédure d'appel, par 1’280 fr., constitués en l’espèce du seul émolument d’arrêt (art. 21 al. 1 et 2 TFIP [Tarif des frais de procédure et indemnités en matière pénale du 28 septembre 2010 ; RSV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